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F07C3" w14:textId="291ADE9D" w:rsidR="004C5412" w:rsidRPr="004C5412" w:rsidRDefault="004C5412" w:rsidP="004C5412">
      <w:pPr>
        <w:spacing w:after="0" w:line="240" w:lineRule="auto"/>
        <w:jc w:val="both"/>
        <w:rPr>
          <w:rFonts w:ascii="Times New Roman" w:eastAsiaTheme="minorEastAsia" w:hAnsi="Times New Roman" w:cs="Times New Roman"/>
          <w:b/>
          <w:sz w:val="24"/>
          <w:szCs w:val="20"/>
        </w:rPr>
      </w:pPr>
      <w:r w:rsidRPr="004C5412">
        <w:rPr>
          <w:rFonts w:ascii="Times New Roman" w:eastAsiaTheme="minorEastAsia" w:hAnsi="Times New Roman" w:cs="Times New Roman"/>
          <w:sz w:val="24"/>
          <w:szCs w:val="20"/>
        </w:rPr>
        <w:t xml:space="preserve">NAZIV OBVEZNIKA:                                                   </w:t>
      </w:r>
      <w:r w:rsidR="00C00336">
        <w:rPr>
          <w:rFonts w:ascii="Times New Roman" w:eastAsiaTheme="minorEastAsia" w:hAnsi="Times New Roman" w:cs="Times New Roman"/>
          <w:sz w:val="24"/>
          <w:szCs w:val="20"/>
        </w:rPr>
        <w:t xml:space="preserve">       </w:t>
      </w:r>
      <w:r w:rsidRPr="004C5412">
        <w:rPr>
          <w:rFonts w:ascii="Times New Roman" w:eastAsiaTheme="minorEastAsia" w:hAnsi="Times New Roman" w:cs="Times New Roman"/>
          <w:sz w:val="24"/>
          <w:szCs w:val="20"/>
        </w:rPr>
        <w:t xml:space="preserve"> Razina: </w:t>
      </w:r>
      <w:r w:rsidRPr="004C5412">
        <w:rPr>
          <w:rFonts w:ascii="Times New Roman" w:eastAsiaTheme="minorEastAsia" w:hAnsi="Times New Roman" w:cs="Times New Roman"/>
          <w:b/>
          <w:sz w:val="24"/>
          <w:szCs w:val="20"/>
        </w:rPr>
        <w:t>31</w:t>
      </w:r>
    </w:p>
    <w:p w14:paraId="3EE9A360" w14:textId="310D78CD" w:rsidR="004C5412" w:rsidRPr="004C5412" w:rsidRDefault="004C5412" w:rsidP="004C5412">
      <w:pPr>
        <w:spacing w:after="0" w:line="240" w:lineRule="auto"/>
        <w:jc w:val="both"/>
        <w:rPr>
          <w:rFonts w:ascii="Times New Roman" w:eastAsiaTheme="minorEastAsia" w:hAnsi="Times New Roman" w:cs="Times New Roman"/>
          <w:b/>
          <w:sz w:val="24"/>
          <w:szCs w:val="20"/>
        </w:rPr>
      </w:pPr>
      <w:r w:rsidRPr="004C5412">
        <w:rPr>
          <w:rFonts w:ascii="Times New Roman" w:eastAsiaTheme="minorEastAsia" w:hAnsi="Times New Roman" w:cs="Times New Roman"/>
          <w:b/>
          <w:sz w:val="24"/>
          <w:szCs w:val="20"/>
        </w:rPr>
        <w:t xml:space="preserve">OSNOVNA ŠKOLA                                            </w:t>
      </w:r>
      <w:r w:rsidRPr="004C5412">
        <w:rPr>
          <w:rFonts w:ascii="Times New Roman" w:eastAsiaTheme="minorEastAsia" w:hAnsi="Times New Roman" w:cs="Times New Roman"/>
          <w:sz w:val="24"/>
          <w:szCs w:val="20"/>
        </w:rPr>
        <w:t xml:space="preserve">     </w:t>
      </w:r>
      <w:r w:rsidR="00C00336">
        <w:rPr>
          <w:rFonts w:ascii="Times New Roman" w:eastAsiaTheme="minorEastAsia" w:hAnsi="Times New Roman" w:cs="Times New Roman"/>
          <w:sz w:val="24"/>
          <w:szCs w:val="20"/>
        </w:rPr>
        <w:t xml:space="preserve">             </w:t>
      </w:r>
      <w:r w:rsidRPr="004C5412">
        <w:rPr>
          <w:rFonts w:ascii="Times New Roman" w:eastAsiaTheme="minorEastAsia" w:hAnsi="Times New Roman" w:cs="Times New Roman"/>
          <w:sz w:val="24"/>
          <w:szCs w:val="20"/>
        </w:rPr>
        <w:t xml:space="preserve"> RKDP:  </w:t>
      </w:r>
      <w:r w:rsidRPr="004C5412">
        <w:rPr>
          <w:rFonts w:ascii="Times New Roman" w:eastAsiaTheme="minorEastAsia" w:hAnsi="Times New Roman" w:cs="Times New Roman"/>
          <w:b/>
          <w:sz w:val="24"/>
          <w:szCs w:val="20"/>
        </w:rPr>
        <w:t>8762</w:t>
      </w:r>
    </w:p>
    <w:p w14:paraId="242D640E" w14:textId="77777777" w:rsidR="004C5412" w:rsidRPr="004C5412" w:rsidRDefault="004C5412" w:rsidP="004C5412">
      <w:pPr>
        <w:spacing w:after="0" w:line="240" w:lineRule="auto"/>
        <w:jc w:val="both"/>
        <w:rPr>
          <w:rFonts w:ascii="Times New Roman" w:eastAsiaTheme="minorEastAsia" w:hAnsi="Times New Roman" w:cs="Times New Roman"/>
          <w:b/>
          <w:sz w:val="24"/>
          <w:szCs w:val="20"/>
        </w:rPr>
      </w:pPr>
      <w:r w:rsidRPr="004C5412">
        <w:rPr>
          <w:rFonts w:ascii="Times New Roman" w:eastAsiaTheme="minorEastAsia" w:hAnsi="Times New Roman" w:cs="Times New Roman"/>
          <w:b/>
          <w:sz w:val="24"/>
          <w:szCs w:val="20"/>
        </w:rPr>
        <w:t>DR. FRANJE TUĐMANA LIČKI OSIK</w:t>
      </w:r>
      <w:r w:rsidRPr="004C5412">
        <w:rPr>
          <w:rFonts w:ascii="Times New Roman" w:eastAsiaTheme="minorEastAsia" w:hAnsi="Times New Roman" w:cs="Times New Roman"/>
          <w:sz w:val="24"/>
          <w:szCs w:val="20"/>
        </w:rPr>
        <w:t xml:space="preserve">                             OIB: </w:t>
      </w:r>
      <w:r w:rsidRPr="004C5412">
        <w:rPr>
          <w:rFonts w:ascii="Times New Roman" w:eastAsiaTheme="minorEastAsia" w:hAnsi="Times New Roman" w:cs="Times New Roman"/>
          <w:b/>
          <w:sz w:val="24"/>
          <w:szCs w:val="20"/>
        </w:rPr>
        <w:t>38708310614</w:t>
      </w:r>
    </w:p>
    <w:p w14:paraId="7C64402E" w14:textId="3189AD2D" w:rsidR="004C5412" w:rsidRPr="004C5412" w:rsidRDefault="004C5412" w:rsidP="004C5412">
      <w:pPr>
        <w:spacing w:after="0" w:line="240" w:lineRule="auto"/>
        <w:jc w:val="both"/>
        <w:rPr>
          <w:rFonts w:ascii="Times New Roman" w:eastAsiaTheme="minorEastAsia" w:hAnsi="Times New Roman" w:cs="Times New Roman"/>
          <w:b/>
          <w:sz w:val="24"/>
          <w:szCs w:val="20"/>
        </w:rPr>
      </w:pPr>
      <w:r w:rsidRPr="004C5412">
        <w:rPr>
          <w:rFonts w:ascii="Times New Roman" w:eastAsiaTheme="minorEastAsia" w:hAnsi="Times New Roman" w:cs="Times New Roman"/>
          <w:sz w:val="24"/>
          <w:szCs w:val="20"/>
        </w:rPr>
        <w:t xml:space="preserve">ADRESA OBVEZNIKA:                                           </w:t>
      </w:r>
      <w:r w:rsidR="00C00336">
        <w:rPr>
          <w:rFonts w:ascii="Times New Roman" w:eastAsiaTheme="minorEastAsia" w:hAnsi="Times New Roman" w:cs="Times New Roman"/>
          <w:sz w:val="24"/>
          <w:szCs w:val="20"/>
        </w:rPr>
        <w:t xml:space="preserve">             </w:t>
      </w:r>
      <w:r w:rsidRPr="004C5412">
        <w:rPr>
          <w:rFonts w:ascii="Times New Roman" w:eastAsiaTheme="minorEastAsia" w:hAnsi="Times New Roman" w:cs="Times New Roman"/>
          <w:sz w:val="24"/>
          <w:szCs w:val="20"/>
        </w:rPr>
        <w:t xml:space="preserve"> Šifarska oznaka: </w:t>
      </w:r>
      <w:r w:rsidRPr="004C5412">
        <w:rPr>
          <w:rFonts w:ascii="Times New Roman" w:eastAsiaTheme="minorEastAsia" w:hAnsi="Times New Roman" w:cs="Times New Roman"/>
          <w:b/>
          <w:sz w:val="24"/>
          <w:szCs w:val="20"/>
        </w:rPr>
        <w:t>8520</w:t>
      </w:r>
    </w:p>
    <w:p w14:paraId="2CFF0F69" w14:textId="77777777" w:rsidR="004C5412" w:rsidRPr="004C5412" w:rsidRDefault="004C5412" w:rsidP="004C5412">
      <w:pPr>
        <w:spacing w:after="0" w:line="240" w:lineRule="auto"/>
        <w:jc w:val="both"/>
        <w:rPr>
          <w:rFonts w:ascii="Times New Roman" w:eastAsiaTheme="minorEastAsia" w:hAnsi="Times New Roman" w:cs="Times New Roman"/>
          <w:b/>
          <w:sz w:val="24"/>
          <w:szCs w:val="20"/>
        </w:rPr>
      </w:pPr>
      <w:r w:rsidRPr="004C5412">
        <w:rPr>
          <w:rFonts w:ascii="Times New Roman" w:eastAsiaTheme="minorEastAsia" w:hAnsi="Times New Roman" w:cs="Times New Roman"/>
          <w:b/>
          <w:sz w:val="24"/>
          <w:szCs w:val="20"/>
        </w:rPr>
        <w:t>53201 LIČKI OSIK, RIJEČKA 2</w:t>
      </w:r>
    </w:p>
    <w:p w14:paraId="4FFEFBCC" w14:textId="77777777" w:rsidR="004C5412" w:rsidRPr="004C5412" w:rsidRDefault="004C5412" w:rsidP="004C5412">
      <w:pPr>
        <w:spacing w:after="0" w:line="240" w:lineRule="auto"/>
        <w:jc w:val="both"/>
        <w:rPr>
          <w:rFonts w:ascii="Times New Roman" w:eastAsiaTheme="minorEastAsia" w:hAnsi="Times New Roman" w:cs="Times New Roman"/>
          <w:b/>
          <w:sz w:val="24"/>
          <w:szCs w:val="20"/>
        </w:rPr>
      </w:pPr>
      <w:r w:rsidRPr="004C5412">
        <w:rPr>
          <w:rFonts w:ascii="Times New Roman" w:eastAsiaTheme="minorEastAsia" w:hAnsi="Times New Roman" w:cs="Times New Roman"/>
          <w:sz w:val="24"/>
          <w:szCs w:val="20"/>
        </w:rPr>
        <w:t xml:space="preserve">IBAN: </w:t>
      </w:r>
      <w:r w:rsidRPr="004C5412">
        <w:rPr>
          <w:rFonts w:ascii="Times New Roman" w:eastAsiaTheme="minorEastAsia" w:hAnsi="Times New Roman" w:cs="Times New Roman"/>
          <w:b/>
          <w:sz w:val="24"/>
          <w:szCs w:val="20"/>
        </w:rPr>
        <w:t>HR4723900011100400102</w:t>
      </w:r>
    </w:p>
    <w:p w14:paraId="040E93FC" w14:textId="77777777" w:rsidR="004C5412" w:rsidRPr="004C5412" w:rsidRDefault="004C5412" w:rsidP="004C5412">
      <w:pPr>
        <w:spacing w:after="0" w:line="240" w:lineRule="auto"/>
        <w:jc w:val="both"/>
        <w:rPr>
          <w:rFonts w:ascii="Times New Roman" w:eastAsiaTheme="minorEastAsia" w:hAnsi="Times New Roman" w:cs="Times New Roman"/>
          <w:sz w:val="24"/>
          <w:szCs w:val="20"/>
        </w:rPr>
      </w:pPr>
    </w:p>
    <w:p w14:paraId="3E4FD9FA" w14:textId="77777777" w:rsidR="004C5412" w:rsidRPr="004C5412" w:rsidRDefault="004C5412" w:rsidP="004C5412">
      <w:pPr>
        <w:spacing w:after="0" w:line="240" w:lineRule="auto"/>
        <w:jc w:val="both"/>
        <w:rPr>
          <w:rFonts w:ascii="Times New Roman" w:eastAsiaTheme="minorEastAsia" w:hAnsi="Times New Roman" w:cs="Times New Roman"/>
          <w:sz w:val="24"/>
          <w:szCs w:val="20"/>
        </w:rPr>
      </w:pPr>
    </w:p>
    <w:p w14:paraId="186A24D6" w14:textId="77777777" w:rsidR="004C5412" w:rsidRPr="004C5412" w:rsidRDefault="004C5412" w:rsidP="004C5412">
      <w:pPr>
        <w:spacing w:after="0" w:line="240" w:lineRule="auto"/>
        <w:jc w:val="both"/>
        <w:rPr>
          <w:rFonts w:ascii="Times New Roman" w:eastAsiaTheme="minorEastAsia" w:hAnsi="Times New Roman" w:cs="Times New Roman"/>
          <w:b/>
          <w:sz w:val="28"/>
          <w:szCs w:val="28"/>
        </w:rPr>
      </w:pPr>
    </w:p>
    <w:p w14:paraId="3B13F77D" w14:textId="77777777" w:rsidR="004C5412" w:rsidRPr="004C5412" w:rsidRDefault="004C5412" w:rsidP="004C5412">
      <w:pPr>
        <w:spacing w:after="0" w:line="240" w:lineRule="auto"/>
        <w:jc w:val="center"/>
        <w:rPr>
          <w:rFonts w:ascii="Times New Roman" w:eastAsiaTheme="minorEastAsia" w:hAnsi="Times New Roman" w:cs="Times New Roman"/>
          <w:b/>
          <w:sz w:val="28"/>
          <w:szCs w:val="28"/>
        </w:rPr>
      </w:pPr>
      <w:r w:rsidRPr="004C5412">
        <w:rPr>
          <w:rFonts w:ascii="Times New Roman" w:eastAsiaTheme="minorEastAsia" w:hAnsi="Times New Roman" w:cs="Times New Roman"/>
          <w:b/>
          <w:sz w:val="28"/>
          <w:szCs w:val="28"/>
        </w:rPr>
        <w:t>OBRAZLOŽENJE IZVJEŠTAJA O IZVRŠENJU FINANCIJSKOG PLANA</w:t>
      </w:r>
    </w:p>
    <w:p w14:paraId="080A56C6" w14:textId="77777777" w:rsidR="004C5412" w:rsidRPr="004C5412" w:rsidRDefault="004C5412" w:rsidP="004C5412">
      <w:pPr>
        <w:spacing w:after="0" w:line="240" w:lineRule="auto"/>
        <w:jc w:val="center"/>
        <w:rPr>
          <w:rFonts w:ascii="Times New Roman" w:eastAsiaTheme="minorEastAsia" w:hAnsi="Times New Roman" w:cs="Times New Roman"/>
          <w:b/>
          <w:sz w:val="28"/>
          <w:szCs w:val="28"/>
        </w:rPr>
      </w:pPr>
      <w:r w:rsidRPr="004C5412">
        <w:rPr>
          <w:rFonts w:ascii="Times New Roman" w:eastAsiaTheme="minorEastAsia" w:hAnsi="Times New Roman" w:cs="Times New Roman"/>
          <w:b/>
          <w:sz w:val="28"/>
          <w:szCs w:val="28"/>
        </w:rPr>
        <w:t>OD 01.01. – 31.12.2024. GODINE</w:t>
      </w:r>
    </w:p>
    <w:p w14:paraId="0FAF8DAC" w14:textId="77777777" w:rsidR="004C5412" w:rsidRPr="004C5412" w:rsidRDefault="004C5412" w:rsidP="004C5412">
      <w:pPr>
        <w:spacing w:after="0" w:line="240" w:lineRule="auto"/>
        <w:jc w:val="center"/>
        <w:rPr>
          <w:rFonts w:ascii="Times New Roman" w:eastAsiaTheme="minorEastAsia" w:hAnsi="Times New Roman" w:cs="Times New Roman"/>
          <w:b/>
          <w:sz w:val="28"/>
          <w:szCs w:val="28"/>
        </w:rPr>
      </w:pPr>
    </w:p>
    <w:p w14:paraId="5CDACB9C" w14:textId="77777777" w:rsidR="004C5412" w:rsidRPr="004C5412" w:rsidRDefault="004C5412" w:rsidP="004C5412">
      <w:pPr>
        <w:spacing w:after="0" w:line="240" w:lineRule="auto"/>
        <w:jc w:val="both"/>
        <w:rPr>
          <w:rFonts w:ascii="Times New Roman" w:eastAsiaTheme="minorEastAsia" w:hAnsi="Times New Roman" w:cs="Times New Roman"/>
          <w:b/>
          <w:sz w:val="28"/>
          <w:szCs w:val="28"/>
        </w:rPr>
      </w:pPr>
    </w:p>
    <w:p w14:paraId="50C20E7D"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Zakonom o proračunu i Pravilnikom o polugodišnjem i godišnjem izvještaju o izvršenju proračuna i financijskog plana  (NN 85/2023.) propisana je obveza izrade i usvajanja polugodišnjeg i godišnjeg izvještaja o izvršenju financijskog plana za 2024. godinu.</w:t>
      </w:r>
    </w:p>
    <w:p w14:paraId="3FB2C40D"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Izvještajem o izvršenju financijskog plana dobiva se informacija o tome jesu li sredstva utrošena sukladno financijskim planom.</w:t>
      </w:r>
    </w:p>
    <w:p w14:paraId="4817FD1D"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5B562BEF"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Godišnji izvještaj o izvršenju financijskog plana sadrži:</w:t>
      </w:r>
    </w:p>
    <w:p w14:paraId="13E046F8"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1E0F5516" w14:textId="77777777" w:rsidR="004C5412" w:rsidRPr="004C5412" w:rsidRDefault="004C5412" w:rsidP="004C5412">
      <w:pPr>
        <w:numPr>
          <w:ilvl w:val="0"/>
          <w:numId w:val="1"/>
        </w:numPr>
        <w:spacing w:after="0" w:line="240" w:lineRule="auto"/>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Opći dio </w:t>
      </w:r>
    </w:p>
    <w:p w14:paraId="4D400149" w14:textId="77777777" w:rsidR="004C5412" w:rsidRPr="004C5412" w:rsidRDefault="004C5412" w:rsidP="004C5412">
      <w:pPr>
        <w:numPr>
          <w:ilvl w:val="0"/>
          <w:numId w:val="1"/>
        </w:numPr>
        <w:spacing w:after="0" w:line="240" w:lineRule="auto"/>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Posebni dio</w:t>
      </w:r>
    </w:p>
    <w:p w14:paraId="2B7E349F" w14:textId="77777777" w:rsidR="004C5412" w:rsidRPr="004C5412" w:rsidRDefault="004C5412" w:rsidP="004C5412">
      <w:pPr>
        <w:numPr>
          <w:ilvl w:val="0"/>
          <w:numId w:val="1"/>
        </w:numPr>
        <w:spacing w:after="0" w:line="240" w:lineRule="auto"/>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Obrazloženje i</w:t>
      </w:r>
    </w:p>
    <w:p w14:paraId="23B58F35" w14:textId="77777777" w:rsidR="004C5412" w:rsidRPr="004C5412" w:rsidRDefault="004C5412" w:rsidP="004C5412">
      <w:pPr>
        <w:numPr>
          <w:ilvl w:val="0"/>
          <w:numId w:val="1"/>
        </w:numPr>
        <w:spacing w:after="0" w:line="240" w:lineRule="auto"/>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Posebne izvještaje.</w:t>
      </w:r>
    </w:p>
    <w:p w14:paraId="074396C2"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p w14:paraId="46FB5449"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Važna je usklađenost podataka u pojedinim tablicama, po različitim klasifikacijama, a zbirno istim podacima. Jedni podaci nadopunjuju druge i daju zaokruženi izvještaj o izvršenju pozicija financijskog plana.</w:t>
      </w:r>
    </w:p>
    <w:p w14:paraId="32DD5D1F"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714A379D" w14:textId="77777777" w:rsidR="004C5412" w:rsidRPr="004C5412" w:rsidRDefault="004C5412" w:rsidP="004C5412">
      <w:pPr>
        <w:numPr>
          <w:ilvl w:val="0"/>
          <w:numId w:val="2"/>
        </w:numPr>
        <w:spacing w:after="0" w:line="240" w:lineRule="auto"/>
        <w:contextualSpacing/>
        <w:jc w:val="both"/>
        <w:rPr>
          <w:rFonts w:ascii="Times New Roman" w:eastAsiaTheme="minorEastAsia" w:hAnsi="Times New Roman" w:cs="Times New Roman"/>
          <w:b/>
          <w:sz w:val="24"/>
          <w:szCs w:val="24"/>
        </w:rPr>
      </w:pPr>
      <w:r w:rsidRPr="004C5412">
        <w:rPr>
          <w:rFonts w:ascii="Times New Roman" w:eastAsiaTheme="minorEastAsia" w:hAnsi="Times New Roman" w:cs="Times New Roman"/>
          <w:b/>
          <w:sz w:val="24"/>
          <w:szCs w:val="24"/>
        </w:rPr>
        <w:t xml:space="preserve">Obrazloženje općeg dijela izvještaja o izvršenju financijskog plana </w:t>
      </w:r>
    </w:p>
    <w:p w14:paraId="47447B92" w14:textId="77777777" w:rsidR="004C5412" w:rsidRPr="004C5412" w:rsidRDefault="004C5412" w:rsidP="004C5412">
      <w:pPr>
        <w:spacing w:after="0" w:line="240" w:lineRule="auto"/>
        <w:ind w:left="780"/>
        <w:contextualSpacing/>
        <w:jc w:val="both"/>
        <w:rPr>
          <w:rFonts w:ascii="Times New Roman" w:eastAsiaTheme="minorEastAsia" w:hAnsi="Times New Roman" w:cs="Times New Roman"/>
          <w:sz w:val="24"/>
          <w:szCs w:val="24"/>
        </w:rPr>
      </w:pPr>
    </w:p>
    <w:p w14:paraId="29455B7E"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Opći dio godišnjeg izvještaj o izvršenju financijskog plana proračunskog korisnika sadrži:</w:t>
      </w:r>
    </w:p>
    <w:p w14:paraId="64D3C73D"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2B8F6087" w14:textId="77777777" w:rsidR="004C5412" w:rsidRPr="004C5412" w:rsidRDefault="004C5412" w:rsidP="004C5412">
      <w:pPr>
        <w:numPr>
          <w:ilvl w:val="0"/>
          <w:numId w:val="3"/>
        </w:numPr>
        <w:spacing w:after="0" w:line="240" w:lineRule="auto"/>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sažetak </w:t>
      </w:r>
      <w:bookmarkStart w:id="0" w:name="_Hlk162259418"/>
      <w:r w:rsidRPr="004C5412">
        <w:rPr>
          <w:rFonts w:ascii="Times New Roman" w:eastAsiaTheme="minorEastAsia" w:hAnsi="Times New Roman" w:cs="Times New Roman"/>
          <w:sz w:val="24"/>
          <w:szCs w:val="24"/>
        </w:rPr>
        <w:t>Računa prihoda i rashoda i Računa financiranja</w:t>
      </w:r>
    </w:p>
    <w:p w14:paraId="3676EE10"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bookmarkEnd w:id="0"/>
    <w:p w14:paraId="0B97BF8C" w14:textId="77777777" w:rsidR="004C5412" w:rsidRPr="004C5412" w:rsidRDefault="004C5412" w:rsidP="004C5412">
      <w:pPr>
        <w:numPr>
          <w:ilvl w:val="0"/>
          <w:numId w:val="3"/>
        </w:numPr>
        <w:spacing w:after="0" w:line="240" w:lineRule="auto"/>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Račun prihoda i rashoda i</w:t>
      </w:r>
    </w:p>
    <w:p w14:paraId="579C0845"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17F61191" w14:textId="77777777" w:rsidR="004C5412" w:rsidRPr="004C5412" w:rsidRDefault="004C5412" w:rsidP="004C5412">
      <w:pPr>
        <w:numPr>
          <w:ilvl w:val="0"/>
          <w:numId w:val="3"/>
        </w:numPr>
        <w:spacing w:after="0" w:line="240" w:lineRule="auto"/>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Račun financiranje</w:t>
      </w:r>
    </w:p>
    <w:p w14:paraId="560C9AA0" w14:textId="77777777" w:rsidR="004C5412" w:rsidRPr="004C5412" w:rsidRDefault="004C5412" w:rsidP="004C5412">
      <w:pPr>
        <w:ind w:left="708"/>
        <w:rPr>
          <w:rFonts w:ascii="Times New Roman" w:eastAsiaTheme="minorEastAsia" w:hAnsi="Times New Roman" w:cs="Times New Roman"/>
          <w:sz w:val="24"/>
          <w:szCs w:val="24"/>
        </w:rPr>
      </w:pPr>
    </w:p>
    <w:p w14:paraId="3C94D9BF" w14:textId="7AF14612" w:rsidR="004C5412" w:rsidRPr="004C5412" w:rsidRDefault="004C5412" w:rsidP="004C5412">
      <w:pPr>
        <w:spacing w:after="0" w:line="240" w:lineRule="auto"/>
        <w:ind w:left="720"/>
        <w:contextualSpacing/>
        <w:jc w:val="center"/>
        <w:rPr>
          <w:rFonts w:eastAsiaTheme="minorEastAsia" w:cs="Times New Roman"/>
          <w:lang w:eastAsia="hr-HR"/>
        </w:rPr>
      </w:pPr>
      <w:r w:rsidRPr="004C5412">
        <w:rPr>
          <w:rFonts w:eastAsiaTheme="minorEastAsia" w:cs="Times New Roman"/>
          <w:noProof/>
          <w:lang w:eastAsia="hr-HR"/>
        </w:rPr>
        <w:lastRenderedPageBreak/>
        <w:drawing>
          <wp:inline distT="0" distB="0" distL="0" distR="0" wp14:anchorId="295E6E81" wp14:editId="7C3AE85E">
            <wp:extent cx="4572635" cy="2784475"/>
            <wp:effectExtent l="0" t="0" r="18415" b="15875"/>
            <wp:docPr id="4" name="Grafikon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724443"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p w14:paraId="7BB189F0"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Grafikon 1. Sažetak računa prihoda i rashoda </w:t>
      </w:r>
    </w:p>
    <w:p w14:paraId="6505C6F4"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p w14:paraId="29AE67C4"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b/>
          <w:sz w:val="24"/>
          <w:szCs w:val="24"/>
        </w:rPr>
      </w:pPr>
      <w:r w:rsidRPr="004C5412">
        <w:rPr>
          <w:rFonts w:ascii="Times New Roman" w:eastAsiaTheme="minorEastAsia" w:hAnsi="Times New Roman" w:cs="Times New Roman"/>
          <w:b/>
          <w:sz w:val="24"/>
          <w:szCs w:val="24"/>
        </w:rPr>
        <w:t xml:space="preserve">Objašnjenje grafikona - Ostvarenje/Izvršenja 2023. </w:t>
      </w:r>
    </w:p>
    <w:p w14:paraId="22CF9DFA"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Za razdoblje prethodne godine ostvareno je 1.012.686,73 eura prihoda te izvršeno 1.014.630,81 eura rashoda. Prenesen je manjak prihoda iz 2022. godine u iznosu 1.944,08 eura koji se odnose na redovne mjesečne rashode, a isti su pokriveni dijelom iz vlastitih prihoda, a dijelom iz donacije u 2024. godini.</w:t>
      </w:r>
    </w:p>
    <w:p w14:paraId="11EC3625"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p w14:paraId="2DE5F75E"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b/>
          <w:sz w:val="24"/>
          <w:szCs w:val="24"/>
        </w:rPr>
      </w:pPr>
      <w:r w:rsidRPr="004C5412">
        <w:rPr>
          <w:rFonts w:ascii="Times New Roman" w:eastAsiaTheme="minorEastAsia" w:hAnsi="Times New Roman" w:cs="Times New Roman"/>
          <w:b/>
          <w:sz w:val="24"/>
          <w:szCs w:val="24"/>
        </w:rPr>
        <w:t xml:space="preserve">Objašnjenje grafikona – Izvorni plan ili rebalans 2024. </w:t>
      </w:r>
    </w:p>
    <w:p w14:paraId="6A4FA763"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U grafikonu iskazana je I. Izmjena i dopuna financijskog plana za 2024. godinu usvojena od predstavničkog tijela 20.12.2024. godine. Planirano je 1.201.252 eura prihoda te 1.201.252 eura rashoda. </w:t>
      </w:r>
    </w:p>
    <w:p w14:paraId="0CD583CB"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p w14:paraId="762DBBC3"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b/>
          <w:sz w:val="24"/>
          <w:szCs w:val="24"/>
        </w:rPr>
      </w:pPr>
      <w:r w:rsidRPr="004C5412">
        <w:rPr>
          <w:rFonts w:ascii="Times New Roman" w:eastAsiaTheme="minorEastAsia" w:hAnsi="Times New Roman" w:cs="Times New Roman"/>
          <w:b/>
          <w:sz w:val="24"/>
          <w:szCs w:val="24"/>
        </w:rPr>
        <w:t>Objašnjenje grafikona – Ostvarenje/Izvršenje 2024.</w:t>
      </w:r>
    </w:p>
    <w:p w14:paraId="538930CF"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Za razdoblje tekuće godine ostvareno je 1.219.934,34 eura prihoda te izvršeno 1.207.212,22 eura rashoda. Ostvaren je višak prihoda u iznosu 12.722,12 eura koji je namjenski planiran za slijedeće razdoblje.</w:t>
      </w:r>
    </w:p>
    <w:p w14:paraId="51225089"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p w14:paraId="2C7881B8"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p w14:paraId="2615438A" w14:textId="77777777" w:rsidR="004C5412" w:rsidRPr="004C5412" w:rsidRDefault="004C5412" w:rsidP="004C5412">
      <w:pPr>
        <w:spacing w:after="0" w:line="240" w:lineRule="auto"/>
        <w:contextualSpacing/>
        <w:jc w:val="both"/>
        <w:rPr>
          <w:rFonts w:ascii="Times New Roman" w:eastAsiaTheme="minorEastAsia" w:hAnsi="Times New Roman" w:cs="Times New Roman"/>
          <w:b/>
          <w:sz w:val="24"/>
          <w:szCs w:val="24"/>
          <w:u w:val="single"/>
        </w:rPr>
      </w:pPr>
      <w:r w:rsidRPr="004C5412">
        <w:rPr>
          <w:rFonts w:ascii="Times New Roman" w:eastAsiaTheme="minorEastAsia" w:hAnsi="Times New Roman" w:cs="Times New Roman"/>
          <w:b/>
          <w:sz w:val="24"/>
          <w:szCs w:val="24"/>
          <w:u w:val="single"/>
        </w:rPr>
        <w:t>Izvještaj o prihodima i rashodima prema ekonomskoj klasifikaciji</w:t>
      </w:r>
    </w:p>
    <w:p w14:paraId="18CCDADA"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p w14:paraId="05F4AF3F" w14:textId="307FEDB9"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r w:rsidRPr="004C5412">
        <w:rPr>
          <w:rFonts w:eastAsiaTheme="minorEastAsia" w:cs="Times New Roman"/>
          <w:noProof/>
          <w:lang w:eastAsia="hr-HR"/>
        </w:rPr>
        <w:lastRenderedPageBreak/>
        <w:drawing>
          <wp:inline distT="0" distB="0" distL="0" distR="0" wp14:anchorId="26C22082" wp14:editId="198222DB">
            <wp:extent cx="4572000" cy="2743200"/>
            <wp:effectExtent l="0" t="0" r="0" b="0"/>
            <wp:docPr id="3" name="Grafikon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4C5412">
        <w:rPr>
          <w:rFonts w:ascii="Times New Roman" w:eastAsiaTheme="minorEastAsia" w:hAnsi="Times New Roman" w:cs="Times New Roman"/>
          <w:sz w:val="24"/>
          <w:szCs w:val="24"/>
        </w:rPr>
        <w:t xml:space="preserve"> </w:t>
      </w:r>
    </w:p>
    <w:p w14:paraId="16F3B365"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p w14:paraId="1E35E350" w14:textId="77777777" w:rsidR="004C5412" w:rsidRPr="004C5412" w:rsidRDefault="004C5412" w:rsidP="004C5412">
      <w:pPr>
        <w:spacing w:after="0" w:line="240" w:lineRule="auto"/>
        <w:ind w:left="360"/>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Grafikon 2. Prihodi i rashodi prema ekonomskoj klasifikaciji</w:t>
      </w:r>
    </w:p>
    <w:p w14:paraId="145E41B1" w14:textId="77777777" w:rsidR="004C5412" w:rsidRPr="004C5412" w:rsidRDefault="004C5412" w:rsidP="004C5412">
      <w:pPr>
        <w:spacing w:after="0" w:line="240" w:lineRule="auto"/>
        <w:ind w:left="360"/>
        <w:jc w:val="both"/>
        <w:rPr>
          <w:rFonts w:ascii="Times New Roman" w:eastAsiaTheme="minorEastAsia" w:hAnsi="Times New Roman" w:cs="Times New Roman"/>
          <w:sz w:val="24"/>
          <w:szCs w:val="24"/>
        </w:rPr>
      </w:pPr>
    </w:p>
    <w:p w14:paraId="7F0ADDAB" w14:textId="77777777" w:rsidR="004C5412" w:rsidRPr="004C5412" w:rsidRDefault="004C5412" w:rsidP="004C5412">
      <w:pPr>
        <w:spacing w:after="0" w:line="240" w:lineRule="auto"/>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Iz prikazanog grafikona možemo zaključiti da su:</w:t>
      </w:r>
    </w:p>
    <w:p w14:paraId="5EE6D611" w14:textId="77777777" w:rsidR="004C5412" w:rsidRPr="004C5412" w:rsidRDefault="004C5412" w:rsidP="004C5412">
      <w:pPr>
        <w:numPr>
          <w:ilvl w:val="0"/>
          <w:numId w:val="3"/>
        </w:numPr>
        <w:spacing w:after="0" w:line="240" w:lineRule="auto"/>
        <w:contextualSpacing/>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 prihodi i rashodi u 2023 godini u približnoj ravnoteži (prihodi iznose 1.012.686,73 eura, a rashodi iznose 1.014.630,81 eura),</w:t>
      </w:r>
    </w:p>
    <w:p w14:paraId="58AF2836" w14:textId="77777777" w:rsidR="004C5412" w:rsidRPr="004C5412" w:rsidRDefault="004C5412" w:rsidP="004C5412">
      <w:pPr>
        <w:numPr>
          <w:ilvl w:val="0"/>
          <w:numId w:val="3"/>
        </w:numPr>
        <w:spacing w:after="0" w:line="240" w:lineRule="auto"/>
        <w:contextualSpacing/>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plan prihoda i rashoda u 2024. godini u ravnoteži (prihodi i rashodi iznose 1.201.252,00 eura) i</w:t>
      </w:r>
    </w:p>
    <w:p w14:paraId="52A677E2" w14:textId="77777777" w:rsidR="004C5412" w:rsidRPr="004C5412" w:rsidRDefault="004C5412" w:rsidP="004C5412">
      <w:pPr>
        <w:numPr>
          <w:ilvl w:val="0"/>
          <w:numId w:val="3"/>
        </w:numPr>
        <w:spacing w:after="0" w:line="240" w:lineRule="auto"/>
        <w:contextualSpacing/>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izvršenje u 2024. godini također u približnoj ravnoteži (prihodi iznose 1.219.934,34 eura, a rashodi iznose 1.207.212,22 eura).</w:t>
      </w:r>
    </w:p>
    <w:p w14:paraId="5751F1E4" w14:textId="77777777" w:rsidR="004C5412" w:rsidRPr="004C5412" w:rsidRDefault="004C5412" w:rsidP="004C5412">
      <w:pPr>
        <w:spacing w:after="0" w:line="240" w:lineRule="auto"/>
        <w:contextualSpacing/>
        <w:rPr>
          <w:rFonts w:ascii="Times New Roman" w:eastAsiaTheme="minorEastAsia" w:hAnsi="Times New Roman" w:cs="Times New Roman"/>
          <w:sz w:val="24"/>
          <w:szCs w:val="24"/>
        </w:rPr>
      </w:pPr>
    </w:p>
    <w:p w14:paraId="7DB99B08" w14:textId="77777777" w:rsidR="004C5412" w:rsidRPr="004C5412" w:rsidRDefault="004C5412" w:rsidP="004C5412">
      <w:pPr>
        <w:spacing w:after="0" w:line="240" w:lineRule="auto"/>
        <w:ind w:left="60"/>
        <w:jc w:val="both"/>
        <w:rPr>
          <w:rFonts w:ascii="Times New Roman" w:eastAsiaTheme="minorEastAsia" w:hAnsi="Times New Roman" w:cs="Times New Roman"/>
          <w:b/>
          <w:sz w:val="24"/>
          <w:szCs w:val="24"/>
          <w:u w:val="single"/>
        </w:rPr>
      </w:pPr>
      <w:r w:rsidRPr="004C5412">
        <w:rPr>
          <w:rFonts w:ascii="Times New Roman" w:eastAsiaTheme="minorEastAsia" w:hAnsi="Times New Roman" w:cs="Times New Roman"/>
          <w:b/>
          <w:sz w:val="24"/>
          <w:szCs w:val="24"/>
          <w:u w:val="single"/>
        </w:rPr>
        <w:t>Izvještaj o prihodima i rashodima prema izvoru financiranja</w:t>
      </w:r>
    </w:p>
    <w:p w14:paraId="547D6EA0" w14:textId="77777777" w:rsidR="004C5412" w:rsidRPr="004C5412" w:rsidRDefault="004C5412" w:rsidP="004C5412">
      <w:pPr>
        <w:spacing w:after="0" w:line="240" w:lineRule="auto"/>
        <w:ind w:left="60"/>
        <w:jc w:val="both"/>
        <w:rPr>
          <w:rFonts w:ascii="Times New Roman" w:eastAsiaTheme="minorEastAsia" w:hAnsi="Times New Roman" w:cs="Times New Roman"/>
          <w:b/>
          <w:sz w:val="24"/>
          <w:szCs w:val="24"/>
          <w:u w:val="single"/>
        </w:rPr>
      </w:pPr>
    </w:p>
    <w:p w14:paraId="6B09DF8B" w14:textId="509BEA62" w:rsidR="004C5412" w:rsidRPr="004C5412" w:rsidRDefault="004C5412" w:rsidP="004C5412">
      <w:pPr>
        <w:spacing w:after="0" w:line="240" w:lineRule="auto"/>
        <w:rPr>
          <w:rFonts w:ascii="Times New Roman" w:eastAsiaTheme="minorEastAsia" w:hAnsi="Times New Roman" w:cs="Times New Roman"/>
          <w:b/>
          <w:sz w:val="24"/>
          <w:szCs w:val="24"/>
          <w:u w:val="single"/>
        </w:rPr>
      </w:pPr>
      <w:r w:rsidRPr="004C5412">
        <w:rPr>
          <w:rFonts w:eastAsiaTheme="minorEastAsia" w:cs="Times New Roman"/>
          <w:noProof/>
          <w:lang w:eastAsia="hr-HR"/>
        </w:rPr>
        <w:drawing>
          <wp:inline distT="0" distB="0" distL="0" distR="0" wp14:anchorId="0065E64F" wp14:editId="7BED106C">
            <wp:extent cx="4572635" cy="2743835"/>
            <wp:effectExtent l="0" t="0" r="18415" b="18415"/>
            <wp:docPr id="2" name="Grafikon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D1B527" w14:textId="77777777" w:rsidR="004C5412" w:rsidRPr="004C5412" w:rsidRDefault="004C5412" w:rsidP="004C5412">
      <w:pPr>
        <w:spacing w:after="0" w:line="240" w:lineRule="auto"/>
        <w:ind w:left="360"/>
        <w:jc w:val="both"/>
        <w:rPr>
          <w:rFonts w:ascii="Times New Roman" w:eastAsiaTheme="minorEastAsia" w:hAnsi="Times New Roman" w:cs="Times New Roman"/>
          <w:sz w:val="24"/>
          <w:szCs w:val="24"/>
        </w:rPr>
      </w:pPr>
    </w:p>
    <w:p w14:paraId="2C1F9B78" w14:textId="77777777" w:rsidR="004C5412" w:rsidRPr="004C5412" w:rsidRDefault="004C5412" w:rsidP="004C5412">
      <w:pPr>
        <w:jc w:val="both"/>
        <w:rPr>
          <w:rFonts w:eastAsiaTheme="minorEastAsia" w:cs="Times New Roman"/>
          <w:noProof/>
          <w:lang w:eastAsia="hr-HR"/>
        </w:rPr>
      </w:pPr>
      <w:r w:rsidRPr="004C5412">
        <w:rPr>
          <w:rFonts w:ascii="Times New Roman" w:eastAsiaTheme="minorEastAsia" w:hAnsi="Times New Roman" w:cs="Times New Roman"/>
          <w:noProof/>
          <w:sz w:val="24"/>
          <w:szCs w:val="24"/>
          <w:lang w:eastAsia="hr-HR"/>
        </w:rPr>
        <w:lastRenderedPageBreak/>
        <w:t>Grafikon 3. Prihodi prema izvorima financiranja</w:t>
      </w:r>
    </w:p>
    <w:p w14:paraId="539C1FA3" w14:textId="77777777" w:rsidR="004C5412" w:rsidRPr="004C5412" w:rsidRDefault="004C5412" w:rsidP="004C5412">
      <w:pPr>
        <w:spacing w:after="0" w:line="240" w:lineRule="auto"/>
        <w:ind w:left="60"/>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Prihodi prema izvorima financiranja ukazuju da se usporedno s izvršenjem 2023. godine, planom za 2024. godinu i izvršenjem za 2024. godinu najveći dio prihoda odnosi na 5. Pomoći. Većinski dio prihoda iz izvora 5. Pomoći odnosi se na prihode za financiranje plaća zaposlenika Izvor 5.7. Tekuće pomoći, zatim Izvori 5.2. Tekuće pomoći (školstvo) te Izvori 5.0. i 5.6. Tekuće pomoći EU.</w:t>
      </w:r>
    </w:p>
    <w:p w14:paraId="27769046" w14:textId="77777777" w:rsidR="004C5412" w:rsidRPr="004C5412" w:rsidRDefault="004C5412" w:rsidP="004C5412">
      <w:pPr>
        <w:spacing w:after="0" w:line="240" w:lineRule="auto"/>
        <w:ind w:left="60"/>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Ostali opći prihodi i primici odnose se na Izvore 1.1. Prihodi od poreza i 1.2. Ostali opći prihodi iz kojih se najvećim dijelom financiraju plaće zaposlenika Produženog boravka, 15% plaća zaposlenika „Korak prema jednakosti“ te rashodi za prijevoz učenika.</w:t>
      </w:r>
    </w:p>
    <w:p w14:paraId="0A89A207" w14:textId="77777777" w:rsidR="004C5412" w:rsidRPr="004C5412" w:rsidRDefault="004C5412" w:rsidP="004C5412">
      <w:pPr>
        <w:jc w:val="both"/>
        <w:rPr>
          <w:rFonts w:ascii="Times New Roman" w:eastAsiaTheme="minorEastAsia" w:hAnsi="Times New Roman" w:cs="Times New Roman"/>
          <w:sz w:val="24"/>
          <w:szCs w:val="24"/>
          <w:lang w:eastAsia="hr-HR"/>
        </w:rPr>
      </w:pPr>
    </w:p>
    <w:p w14:paraId="5D199CCA" w14:textId="2E982E7F" w:rsidR="004C5412" w:rsidRPr="004C5412" w:rsidRDefault="004C5412" w:rsidP="004C5412">
      <w:pPr>
        <w:jc w:val="center"/>
        <w:rPr>
          <w:rFonts w:eastAsiaTheme="minorEastAsia" w:cs="Times New Roman"/>
          <w:noProof/>
          <w:lang w:eastAsia="hr-HR"/>
        </w:rPr>
      </w:pPr>
      <w:r w:rsidRPr="004C5412">
        <w:rPr>
          <w:rFonts w:eastAsiaTheme="minorEastAsia" w:cs="Times New Roman"/>
          <w:noProof/>
          <w:lang w:eastAsia="hr-HR"/>
        </w:rPr>
        <w:drawing>
          <wp:inline distT="0" distB="0" distL="0" distR="0" wp14:anchorId="60411853" wp14:editId="264C270D">
            <wp:extent cx="4295140" cy="2493010"/>
            <wp:effectExtent l="0" t="0" r="10160" b="2540"/>
            <wp:docPr id="1"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A0DEB4" w14:textId="77777777" w:rsidR="004C5412" w:rsidRPr="004C5412" w:rsidRDefault="004C5412" w:rsidP="004C5412">
      <w:pPr>
        <w:jc w:val="both"/>
        <w:rPr>
          <w:rFonts w:ascii="Times New Roman" w:eastAsiaTheme="minorEastAsia" w:hAnsi="Times New Roman" w:cs="Times New Roman"/>
          <w:sz w:val="24"/>
          <w:szCs w:val="24"/>
          <w:lang w:eastAsia="hr-HR"/>
        </w:rPr>
      </w:pPr>
      <w:r w:rsidRPr="004C5412">
        <w:rPr>
          <w:rFonts w:ascii="Times New Roman" w:eastAsiaTheme="minorEastAsia" w:hAnsi="Times New Roman" w:cs="Times New Roman"/>
          <w:sz w:val="24"/>
          <w:szCs w:val="24"/>
          <w:lang w:eastAsia="hr-HR"/>
        </w:rPr>
        <w:t>Grafikon 4. Rashodi prema izvorima financiranja</w:t>
      </w:r>
    </w:p>
    <w:p w14:paraId="488C79C1" w14:textId="77777777" w:rsidR="004C5412" w:rsidRPr="004C5412" w:rsidRDefault="004C5412" w:rsidP="004C5412">
      <w:pPr>
        <w:spacing w:after="0" w:line="240" w:lineRule="auto"/>
        <w:ind w:left="60"/>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Rashodi prema izvorima financiranja ukazuju da se usporedno s izvršenjem 2023. godine, planom za 2024. godinu i izvršenjem za 2024. godinu najveći dio rashoda odnosi na 5. Pomoći. Većinski dio rashoda iz izvora 5. Pomoći odnosi se na rashode za  financiranje plaća zaposlenika Izvor 5.7. Tekuće pomoći, zatim Izvori 5.2. Tekuće pomoći (školstvo) te Izvori 5.0. i 5.6. Tekuće pomoći EU.</w:t>
      </w:r>
    </w:p>
    <w:p w14:paraId="5027BD33" w14:textId="77777777" w:rsidR="004C5412" w:rsidRPr="004C5412" w:rsidRDefault="004C5412" w:rsidP="004C5412">
      <w:pPr>
        <w:spacing w:after="0" w:line="240" w:lineRule="auto"/>
        <w:ind w:left="60"/>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Ostali opći prihodi i primici odnose se na rashode iz  Izvora 1.1. Prihodi od poreza i 1.2. Ostali opći prihodi iz kojih se najvećim dijelom financiraju plaće zaposlenika Produženog boravka, 15% plaća zaposlenika „Korak prema jednakosti“ te rashodi za prijevoz učenika.</w:t>
      </w:r>
    </w:p>
    <w:p w14:paraId="1F92306F" w14:textId="77777777" w:rsidR="004C5412" w:rsidRPr="004C5412" w:rsidRDefault="004C5412" w:rsidP="004C5412">
      <w:pPr>
        <w:spacing w:after="0" w:line="240" w:lineRule="auto"/>
        <w:ind w:left="60"/>
        <w:jc w:val="both"/>
        <w:rPr>
          <w:rFonts w:ascii="Times New Roman" w:eastAsiaTheme="minorEastAsia" w:hAnsi="Times New Roman" w:cs="Times New Roman"/>
          <w:sz w:val="24"/>
          <w:szCs w:val="24"/>
        </w:rPr>
      </w:pPr>
    </w:p>
    <w:p w14:paraId="4658E32C" w14:textId="77777777" w:rsidR="004C5412" w:rsidRPr="004C5412" w:rsidRDefault="004C5412" w:rsidP="004C5412">
      <w:pPr>
        <w:spacing w:after="0" w:line="240" w:lineRule="auto"/>
        <w:ind w:left="60"/>
        <w:jc w:val="both"/>
        <w:rPr>
          <w:rFonts w:ascii="Times New Roman" w:eastAsiaTheme="minorEastAsia" w:hAnsi="Times New Roman" w:cs="Times New Roman"/>
          <w:sz w:val="24"/>
          <w:szCs w:val="24"/>
        </w:rPr>
      </w:pPr>
    </w:p>
    <w:p w14:paraId="5B0FE873" w14:textId="77777777" w:rsidR="004C5412" w:rsidRPr="004C5412" w:rsidRDefault="004C5412" w:rsidP="004C5412">
      <w:pPr>
        <w:jc w:val="both"/>
        <w:rPr>
          <w:rFonts w:ascii="Times New Roman" w:eastAsiaTheme="minorEastAsia" w:hAnsi="Times New Roman" w:cs="Times New Roman"/>
          <w:b/>
          <w:sz w:val="24"/>
          <w:szCs w:val="24"/>
          <w:u w:val="single"/>
          <w:lang w:eastAsia="hr-HR"/>
        </w:rPr>
      </w:pPr>
      <w:r w:rsidRPr="004C5412">
        <w:rPr>
          <w:rFonts w:ascii="Times New Roman" w:eastAsiaTheme="minorEastAsia" w:hAnsi="Times New Roman" w:cs="Times New Roman"/>
          <w:b/>
          <w:sz w:val="24"/>
          <w:szCs w:val="24"/>
          <w:u w:val="single"/>
          <w:lang w:eastAsia="hr-HR"/>
        </w:rPr>
        <w:t>Izvještaj o rashodima prema funkcijskoj klasifikaciji</w:t>
      </w:r>
    </w:p>
    <w:p w14:paraId="0C5558F9" w14:textId="77777777" w:rsidR="004C5412" w:rsidRPr="004C5412" w:rsidRDefault="004C5412" w:rsidP="004C5412">
      <w:pPr>
        <w:jc w:val="both"/>
        <w:rPr>
          <w:rFonts w:ascii="Times New Roman" w:eastAsiaTheme="minorEastAsia" w:hAnsi="Times New Roman" w:cs="Times New Roman"/>
          <w:sz w:val="24"/>
          <w:szCs w:val="24"/>
          <w:lang w:eastAsia="hr-HR"/>
        </w:rPr>
      </w:pPr>
      <w:r w:rsidRPr="004C5412">
        <w:rPr>
          <w:rFonts w:ascii="Times New Roman" w:eastAsiaTheme="minorEastAsia" w:hAnsi="Times New Roman" w:cs="Times New Roman"/>
          <w:sz w:val="24"/>
          <w:szCs w:val="24"/>
          <w:lang w:eastAsia="hr-HR"/>
        </w:rPr>
        <w:t>Izvještaj o rashodima prema funkcijskoj klasifikaciji sadrži prikaz rashoda prema funkcijskoj klasifikaciji, a podaci se iskazuju na razini razreda i skupine funkcijske klasifikacije. Funkcijska klasifikacija je prikaz rashoda prema njihovoj namjeni, a za školsku ustanovu su:</w:t>
      </w:r>
    </w:p>
    <w:p w14:paraId="41431017" w14:textId="77777777" w:rsidR="004C5412" w:rsidRPr="004C5412" w:rsidRDefault="004C5412" w:rsidP="004C5412">
      <w:pPr>
        <w:numPr>
          <w:ilvl w:val="1"/>
          <w:numId w:val="4"/>
        </w:numPr>
        <w:jc w:val="both"/>
        <w:rPr>
          <w:rFonts w:ascii="Times New Roman" w:eastAsiaTheme="minorEastAsia" w:hAnsi="Times New Roman" w:cs="Times New Roman"/>
          <w:sz w:val="24"/>
          <w:szCs w:val="24"/>
          <w:lang w:eastAsia="hr-HR"/>
        </w:rPr>
      </w:pPr>
      <w:r w:rsidRPr="004C5412">
        <w:rPr>
          <w:rFonts w:ascii="Times New Roman" w:eastAsiaTheme="minorEastAsia" w:hAnsi="Times New Roman" w:cs="Times New Roman"/>
          <w:sz w:val="24"/>
          <w:szCs w:val="24"/>
          <w:lang w:eastAsia="hr-HR"/>
        </w:rPr>
        <w:t xml:space="preserve">Razred 09 Obrazovanje </w:t>
      </w:r>
    </w:p>
    <w:p w14:paraId="44CD0EB5" w14:textId="77777777" w:rsidR="004C5412" w:rsidRPr="004C5412" w:rsidRDefault="004C5412" w:rsidP="004C5412">
      <w:pPr>
        <w:numPr>
          <w:ilvl w:val="1"/>
          <w:numId w:val="4"/>
        </w:numPr>
        <w:jc w:val="both"/>
        <w:rPr>
          <w:rFonts w:ascii="Times New Roman" w:eastAsiaTheme="minorEastAsia" w:hAnsi="Times New Roman" w:cs="Times New Roman"/>
          <w:sz w:val="24"/>
          <w:szCs w:val="24"/>
          <w:lang w:eastAsia="hr-HR"/>
        </w:rPr>
      </w:pPr>
      <w:r w:rsidRPr="004C5412">
        <w:rPr>
          <w:rFonts w:ascii="Times New Roman" w:eastAsiaTheme="minorEastAsia" w:hAnsi="Times New Roman" w:cs="Times New Roman"/>
          <w:sz w:val="24"/>
          <w:szCs w:val="24"/>
          <w:lang w:eastAsia="hr-HR"/>
        </w:rPr>
        <w:t xml:space="preserve">Skupina 091 – Predškolsko i Osnovno obrazovanje </w:t>
      </w:r>
    </w:p>
    <w:p w14:paraId="09BA131E" w14:textId="77777777" w:rsidR="004C5412" w:rsidRPr="004C5412" w:rsidRDefault="004C5412" w:rsidP="004C5412">
      <w:pPr>
        <w:numPr>
          <w:ilvl w:val="0"/>
          <w:numId w:val="2"/>
        </w:numPr>
        <w:spacing w:after="0" w:line="240" w:lineRule="auto"/>
        <w:contextualSpacing/>
        <w:jc w:val="center"/>
        <w:rPr>
          <w:rFonts w:ascii="Times New Roman" w:eastAsiaTheme="minorEastAsia" w:hAnsi="Times New Roman" w:cs="Times New Roman"/>
          <w:b/>
          <w:sz w:val="24"/>
          <w:szCs w:val="24"/>
        </w:rPr>
      </w:pPr>
      <w:r w:rsidRPr="004C5412">
        <w:rPr>
          <w:rFonts w:ascii="Times New Roman" w:eastAsiaTheme="minorEastAsia" w:hAnsi="Times New Roman" w:cs="Times New Roman"/>
          <w:b/>
          <w:sz w:val="24"/>
          <w:szCs w:val="24"/>
        </w:rPr>
        <w:lastRenderedPageBreak/>
        <w:t>POSEBNI DIO</w:t>
      </w:r>
    </w:p>
    <w:p w14:paraId="427C25D0" w14:textId="77777777" w:rsidR="004C5412" w:rsidRPr="004C5412" w:rsidRDefault="004C5412" w:rsidP="004C5412">
      <w:pPr>
        <w:spacing w:after="0" w:line="240" w:lineRule="auto"/>
        <w:ind w:left="360"/>
        <w:rPr>
          <w:rFonts w:ascii="Times New Roman" w:eastAsiaTheme="minorEastAsia" w:hAnsi="Times New Roman" w:cs="Times New Roman"/>
          <w:sz w:val="24"/>
          <w:szCs w:val="24"/>
        </w:rPr>
      </w:pPr>
    </w:p>
    <w:p w14:paraId="2FC37414" w14:textId="77777777" w:rsidR="004C5412" w:rsidRPr="004C5412" w:rsidRDefault="004C5412" w:rsidP="004C5412">
      <w:pPr>
        <w:spacing w:after="0" w:line="240" w:lineRule="auto"/>
        <w:rPr>
          <w:rFonts w:ascii="Times New Roman" w:eastAsiaTheme="minorEastAsia" w:hAnsi="Times New Roman" w:cs="Times New Roman"/>
          <w:sz w:val="24"/>
          <w:szCs w:val="24"/>
        </w:rPr>
      </w:pPr>
    </w:p>
    <w:p w14:paraId="78490319" w14:textId="48FF4CF5"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fldChar w:fldCharType="begin"/>
      </w:r>
      <w:r w:rsidRPr="004C5412">
        <w:rPr>
          <w:rFonts w:ascii="Times New Roman" w:eastAsiaTheme="minorEastAsia" w:hAnsi="Times New Roman" w:cs="Times New Roman"/>
          <w:sz w:val="24"/>
          <w:szCs w:val="24"/>
        </w:rPr>
        <w:instrText xml:space="preserve">LINK </w:instrText>
      </w:r>
      <w:r w:rsidR="00C00336">
        <w:rPr>
          <w:rFonts w:ascii="Times New Roman" w:eastAsiaTheme="minorEastAsia" w:hAnsi="Times New Roman" w:cs="Times New Roman"/>
          <w:sz w:val="24"/>
          <w:szCs w:val="24"/>
        </w:rPr>
        <w:instrText xml:space="preserve">Excel.Sheet.12 "C:\\Users\\Marijana\\Desktop\\DOKUMENTI 1\\FINANCIJSKI IZVJEŠTAJI PO GODINAMA\\2022. FINANCIJSKI IZVJEŠTAJI\\Godišnji izvještaj o izvršenju financijskog plana za 2022. godinu\\Kopija Dopuna.xlsx" List2!C1:C5 </w:instrText>
      </w:r>
      <w:r w:rsidRPr="004C5412">
        <w:rPr>
          <w:rFonts w:ascii="Times New Roman" w:eastAsiaTheme="minorEastAsia" w:hAnsi="Times New Roman" w:cs="Times New Roman"/>
          <w:sz w:val="24"/>
          <w:szCs w:val="24"/>
        </w:rPr>
        <w:instrText>\a \h</w:instrText>
      </w:r>
      <w:r w:rsidRPr="004C5412">
        <w:rPr>
          <w:rFonts w:ascii="Times New Roman" w:eastAsiaTheme="minorEastAsia" w:hAnsi="Times New Roman" w:cs="Times New Roman"/>
          <w:sz w:val="24"/>
          <w:szCs w:val="24"/>
        </w:rPr>
        <w:fldChar w:fldCharType="separate"/>
      </w:r>
    </w:p>
    <w:p w14:paraId="2408BC23"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fldChar w:fldCharType="end"/>
      </w:r>
      <w:r w:rsidRPr="004C5412">
        <w:rPr>
          <w:rFonts w:ascii="Times New Roman" w:eastAsiaTheme="minorEastAsia" w:hAnsi="Times New Roman" w:cs="Times New Roman"/>
          <w:sz w:val="24"/>
          <w:szCs w:val="24"/>
        </w:rPr>
        <w:t xml:space="preserve">Osnovna škola dr. Franje Tuđmana Lički </w:t>
      </w:r>
      <w:proofErr w:type="spellStart"/>
      <w:r w:rsidRPr="004C5412">
        <w:rPr>
          <w:rFonts w:ascii="Times New Roman" w:eastAsiaTheme="minorEastAsia" w:hAnsi="Times New Roman" w:cs="Times New Roman"/>
          <w:sz w:val="24"/>
          <w:szCs w:val="24"/>
        </w:rPr>
        <w:t>Osik</w:t>
      </w:r>
      <w:proofErr w:type="spellEnd"/>
      <w:r w:rsidRPr="004C5412">
        <w:rPr>
          <w:rFonts w:ascii="Times New Roman" w:eastAsiaTheme="minorEastAsia" w:hAnsi="Times New Roman" w:cs="Times New Roman"/>
          <w:sz w:val="24"/>
          <w:szCs w:val="24"/>
        </w:rPr>
        <w:t xml:space="preserve"> obavlja djelatnost osnovnog odgoja i obrazovanja sukladno Zakonu o odgoju i obrazovanju u osnovnoj i srednjoj školi.</w:t>
      </w:r>
    </w:p>
    <w:p w14:paraId="7E264D79"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Osnovnoškolsko obrazovanje ostvaruje se na temelju Godišnjeg plana i programa rada i Školskog kurikuluma, koji se donose na početku svake školske godine.</w:t>
      </w:r>
    </w:p>
    <w:p w14:paraId="1E771518"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U školi se provodi redovna nastava, izborna nastava, dopunska i dodatna nastava te izvannastavne i izvanškolske aktivnosti. Našu Školu pohađa 130 učenik u 13 razrednih odjela (127 učenika u Matičnoj školi i 3 učenika u Područnoj školi Široka Kula – kombinirani razredni odjel).</w:t>
      </w:r>
    </w:p>
    <w:p w14:paraId="5970F031"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Tijekom 2024. godine došlo je do izmjena organizacijskih klasifikacija te projekata i aktivnosti stoga je Posebni dio podijeljen na dva dijela s starim i novim oznakama i nazivima.</w:t>
      </w:r>
    </w:p>
    <w:p w14:paraId="5CBB63A9"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1BEB3EC3"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Program 0101 Zakonske obveze u osnovnom školstvu: </w:t>
      </w:r>
    </w:p>
    <w:p w14:paraId="2AD375B0" w14:textId="77777777" w:rsidR="004C5412" w:rsidRPr="004C5412" w:rsidRDefault="004C5412" w:rsidP="004C5412">
      <w:pPr>
        <w:numPr>
          <w:ilvl w:val="0"/>
          <w:numId w:val="5"/>
        </w:numPr>
        <w:spacing w:after="0" w:line="240" w:lineRule="auto"/>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Aktivnosti A100001 Materijalni rashodi po zakonskom standardu,</w:t>
      </w:r>
    </w:p>
    <w:p w14:paraId="0D56B948" w14:textId="77777777" w:rsidR="004C5412" w:rsidRPr="004C5412" w:rsidRDefault="004C5412" w:rsidP="004C5412">
      <w:pPr>
        <w:numPr>
          <w:ilvl w:val="0"/>
          <w:numId w:val="5"/>
        </w:numPr>
        <w:spacing w:after="0" w:line="240" w:lineRule="auto"/>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 Kapitalni projekt K100001 Opremanje škole po zakonskom standardu i</w:t>
      </w:r>
    </w:p>
    <w:p w14:paraId="530EB88D" w14:textId="77777777" w:rsidR="004C5412" w:rsidRPr="004C5412" w:rsidRDefault="004C5412" w:rsidP="004C5412">
      <w:pPr>
        <w:numPr>
          <w:ilvl w:val="0"/>
          <w:numId w:val="5"/>
        </w:numPr>
        <w:spacing w:after="0" w:line="240" w:lineRule="auto"/>
        <w:contextualSpacing/>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Program 0102 Aktivnosti i projekti u osnovnom školstvu izvan standarda.</w:t>
      </w:r>
    </w:p>
    <w:p w14:paraId="76CAD84E" w14:textId="77777777" w:rsidR="004C5412" w:rsidRPr="004C5412" w:rsidRDefault="004C5412" w:rsidP="004C5412">
      <w:pPr>
        <w:spacing w:after="0" w:line="240" w:lineRule="auto"/>
        <w:ind w:left="720"/>
        <w:contextualSpacing/>
        <w:jc w:val="both"/>
        <w:rPr>
          <w:rFonts w:ascii="Times New Roman" w:eastAsiaTheme="minorEastAsia" w:hAnsi="Times New Roman" w:cs="Times New Roman"/>
          <w:sz w:val="24"/>
          <w:szCs w:val="24"/>
        </w:rPr>
      </w:pPr>
    </w:p>
    <w:p w14:paraId="5ED9156E" w14:textId="77777777" w:rsidR="004C5412" w:rsidRPr="004C5412" w:rsidRDefault="004C5412" w:rsidP="004C5412">
      <w:pPr>
        <w:jc w:val="both"/>
        <w:rPr>
          <w:rFonts w:ascii="Times New Roman" w:eastAsiaTheme="minorEastAsia" w:hAnsi="Times New Roman" w:cs="Times New Roman"/>
          <w:sz w:val="24"/>
          <w:szCs w:val="24"/>
          <w:lang w:eastAsia="hr-HR"/>
        </w:rPr>
      </w:pPr>
    </w:p>
    <w:p w14:paraId="491808C8" w14:textId="77777777" w:rsidR="004C5412" w:rsidRPr="004C5412" w:rsidRDefault="004C5412" w:rsidP="004C5412">
      <w:pPr>
        <w:numPr>
          <w:ilvl w:val="0"/>
          <w:numId w:val="7"/>
        </w:numPr>
        <w:jc w:val="both"/>
        <w:rPr>
          <w:rFonts w:ascii="Times New Roman" w:eastAsiaTheme="minorEastAsia" w:hAnsi="Times New Roman" w:cs="Times New Roman"/>
          <w:sz w:val="24"/>
          <w:szCs w:val="24"/>
          <w:lang w:eastAsia="hr-HR"/>
        </w:rPr>
      </w:pPr>
      <w:r w:rsidRPr="004C5412">
        <w:rPr>
          <w:rFonts w:ascii="Times New Roman" w:eastAsiaTheme="minorEastAsia" w:hAnsi="Times New Roman" w:cs="Times New Roman"/>
          <w:b/>
          <w:sz w:val="24"/>
          <w:szCs w:val="24"/>
          <w:lang w:eastAsia="hr-HR"/>
        </w:rPr>
        <w:t>P05 GLAVNI PROGRAM: ŠKOLSTVO</w:t>
      </w:r>
    </w:p>
    <w:p w14:paraId="3A15C91B" w14:textId="77777777" w:rsidR="004C5412" w:rsidRPr="004C5412" w:rsidRDefault="004C5412" w:rsidP="00281855">
      <w:pPr>
        <w:ind w:left="720"/>
        <w:jc w:val="both"/>
        <w:rPr>
          <w:rFonts w:ascii="Times New Roman" w:eastAsiaTheme="minorEastAsia" w:hAnsi="Times New Roman" w:cs="Times New Roman"/>
          <w:sz w:val="24"/>
          <w:szCs w:val="24"/>
          <w:lang w:eastAsia="hr-HR"/>
        </w:rPr>
      </w:pPr>
    </w:p>
    <w:p w14:paraId="70D0F296" w14:textId="77777777" w:rsidR="004C5412" w:rsidRPr="004C5412" w:rsidRDefault="004C5412" w:rsidP="004C5412">
      <w:pPr>
        <w:jc w:val="both"/>
        <w:rPr>
          <w:rFonts w:ascii="Times New Roman" w:eastAsiaTheme="minorEastAsia" w:hAnsi="Times New Roman" w:cs="Times New Roman"/>
          <w:b/>
          <w:sz w:val="24"/>
          <w:szCs w:val="24"/>
          <w:u w:val="single"/>
          <w:lang w:eastAsia="hr-HR"/>
        </w:rPr>
      </w:pPr>
      <w:r w:rsidRPr="004C5412">
        <w:rPr>
          <w:rFonts w:ascii="Times New Roman" w:eastAsiaTheme="minorEastAsia" w:hAnsi="Times New Roman" w:cs="Times New Roman"/>
          <w:b/>
          <w:sz w:val="24"/>
          <w:szCs w:val="24"/>
          <w:u w:val="single"/>
          <w:lang w:eastAsia="hr-HR"/>
        </w:rPr>
        <w:t>Program 0101: Zakonske obveze u osnovnom školstvu</w:t>
      </w:r>
    </w:p>
    <w:p w14:paraId="1AF76645"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bookmarkStart w:id="1" w:name="_Hlk193493249"/>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Aktivnost A100001 Materijalni rashodi po zakonskom standardu</w:t>
      </w:r>
      <w:r w:rsidRPr="004C5412">
        <w:rPr>
          <w:rFonts w:ascii="Times New Roman" w:eastAsiaTheme="minorEastAsia" w:hAnsi="Times New Roman" w:cs="Times New Roman"/>
          <w:sz w:val="24"/>
          <w:szCs w:val="24"/>
        </w:rPr>
        <w:t xml:space="preserve"> koji se financiraju iz Izvora 1.1. Prihodi od poreza  i Izvora 5.2. Tekuće pomoći (školstvo) iznosi 89.252,27 eura, a izvršenje za 2024. godinu iznosi 95.776,37 eura.</w:t>
      </w:r>
    </w:p>
    <w:p w14:paraId="201B2F9F"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bookmarkStart w:id="2" w:name="_Hlk193494210"/>
      <w:bookmarkEnd w:id="1"/>
      <w:r w:rsidRPr="004C5412">
        <w:rPr>
          <w:rFonts w:ascii="Times New Roman" w:eastAsiaTheme="minorEastAsia" w:hAnsi="Times New Roman" w:cs="Times New Roman"/>
          <w:sz w:val="24"/>
          <w:szCs w:val="24"/>
        </w:rPr>
        <w:t xml:space="preserve">Cilj: Tijekom 2024. godine osigurana su sredstva za nabavu uredskog materijala, sitnog inventara, radne i zaštitne odjeće i obuće za tehničko osoblje, podmirenje mjesečnih troškova energenata, usluge tekućeg i investicijskog održavanja zgrade i opreme, te prijevoz učenika. </w:t>
      </w:r>
    </w:p>
    <w:p w14:paraId="4DFEB656"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Pokazatelj uspješnosti: Svi navedeni radovi predviđeni Planom su u cijelosti realizirani. Osiguran je i realiziran prijevoz učenika iz </w:t>
      </w:r>
      <w:proofErr w:type="spellStart"/>
      <w:r w:rsidRPr="004C5412">
        <w:rPr>
          <w:rFonts w:ascii="Times New Roman" w:eastAsiaTheme="minorEastAsia" w:hAnsi="Times New Roman" w:cs="Times New Roman"/>
          <w:sz w:val="24"/>
          <w:szCs w:val="24"/>
        </w:rPr>
        <w:t>Vukšića</w:t>
      </w:r>
      <w:proofErr w:type="spellEnd"/>
      <w:r w:rsidRPr="004C5412">
        <w:rPr>
          <w:rFonts w:ascii="Times New Roman" w:eastAsiaTheme="minorEastAsia" w:hAnsi="Times New Roman" w:cs="Times New Roman"/>
          <w:sz w:val="24"/>
          <w:szCs w:val="24"/>
        </w:rPr>
        <w:t xml:space="preserve">, </w:t>
      </w:r>
      <w:proofErr w:type="spellStart"/>
      <w:r w:rsidRPr="004C5412">
        <w:rPr>
          <w:rFonts w:ascii="Times New Roman" w:eastAsiaTheme="minorEastAsia" w:hAnsi="Times New Roman" w:cs="Times New Roman"/>
          <w:sz w:val="24"/>
          <w:szCs w:val="24"/>
        </w:rPr>
        <w:t>Mušaluka</w:t>
      </w:r>
      <w:proofErr w:type="spellEnd"/>
      <w:r w:rsidRPr="004C5412">
        <w:rPr>
          <w:rFonts w:ascii="Times New Roman" w:eastAsiaTheme="minorEastAsia" w:hAnsi="Times New Roman" w:cs="Times New Roman"/>
          <w:sz w:val="24"/>
          <w:szCs w:val="24"/>
        </w:rPr>
        <w:t xml:space="preserve">, Široke Kule i </w:t>
      </w:r>
      <w:proofErr w:type="spellStart"/>
      <w:r w:rsidRPr="004C5412">
        <w:rPr>
          <w:rFonts w:ascii="Times New Roman" w:eastAsiaTheme="minorEastAsia" w:hAnsi="Times New Roman" w:cs="Times New Roman"/>
          <w:sz w:val="24"/>
          <w:szCs w:val="24"/>
        </w:rPr>
        <w:t>Ostrvice</w:t>
      </w:r>
      <w:proofErr w:type="spellEnd"/>
      <w:r w:rsidRPr="004C5412">
        <w:rPr>
          <w:rFonts w:ascii="Times New Roman" w:eastAsiaTheme="minorEastAsia" w:hAnsi="Times New Roman" w:cs="Times New Roman"/>
          <w:sz w:val="24"/>
          <w:szCs w:val="24"/>
        </w:rPr>
        <w:t xml:space="preserve"> za 26 učenika, kupljen je uredski materijal za rad učitelja i učenika kako bi se nastava izvodila što kvalitetnije te redovno održavana oprema u školi. </w:t>
      </w:r>
    </w:p>
    <w:bookmarkEnd w:id="2"/>
    <w:p w14:paraId="3FA5D756"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5842CCC4"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Izvršenje iz Izvora 1.1. Prihodi od poreza iznosi 35.094,53 eura. Najvećim dijelom financirani su rashodi za prijevoz učenika u iznosu 30.754,36 eura, dok su za ostali raspoloživi dio sredstava u iznosu 4.340,17 eura financirani redoviti mjesečni rashodi (energenti i uredski materijal).</w:t>
      </w:r>
    </w:p>
    <w:p w14:paraId="15B662D5"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10FA40E0"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bookmarkStart w:id="3" w:name="_Hlk193493603"/>
      <w:r w:rsidRPr="004C5412">
        <w:rPr>
          <w:rFonts w:ascii="Times New Roman" w:eastAsiaTheme="minorEastAsia" w:hAnsi="Times New Roman" w:cs="Times New Roman"/>
          <w:sz w:val="24"/>
          <w:szCs w:val="24"/>
        </w:rPr>
        <w:t xml:space="preserve">Izvršenje iz izvora 5.2. Tekuće pomoći (školstvo) iznosi 60.681,84 eura. Najvećim dijelom financirani su rashodi za energente u iznosu 19.569,82 eura, rashodi za usluge tekućeg i investicijskog održavanja u iznosu 8.952,15 eura te rashodi za prijevoz učenika u iznosu 20.828,40 eura. Također su značajniji rashodi za komunalne usluge, uredski materijal usluge telefona, pošte i prijevoza. </w:t>
      </w:r>
    </w:p>
    <w:p w14:paraId="6B978D64"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lastRenderedPageBreak/>
        <w:t>Iz navedeno dolazimo do zaključka da se najveći dio rashoda odnosi na prijevoz učenika i energente.</w:t>
      </w:r>
    </w:p>
    <w:bookmarkEnd w:id="3"/>
    <w:p w14:paraId="30182220"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28E1F593"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7F96DAF8" w14:textId="77777777" w:rsidR="004C5412" w:rsidRPr="004C5412" w:rsidRDefault="004C5412" w:rsidP="004C5412">
      <w:pPr>
        <w:spacing w:after="0" w:line="240" w:lineRule="auto"/>
        <w:jc w:val="both"/>
        <w:rPr>
          <w:rFonts w:ascii="Times New Roman" w:eastAsiaTheme="minorEastAsia" w:hAnsi="Times New Roman" w:cs="Times New Roman"/>
          <w:b/>
          <w:sz w:val="24"/>
          <w:szCs w:val="24"/>
          <w:u w:val="single"/>
        </w:rPr>
      </w:pPr>
      <w:r w:rsidRPr="004C5412">
        <w:rPr>
          <w:rFonts w:ascii="Times New Roman" w:eastAsiaTheme="minorEastAsia" w:hAnsi="Times New Roman" w:cs="Times New Roman"/>
          <w:b/>
          <w:sz w:val="24"/>
          <w:szCs w:val="24"/>
          <w:u w:val="single"/>
        </w:rPr>
        <w:t>Program 0102 Aktivnosti i projekti u osnovom školstvu izvan standarda</w:t>
      </w:r>
    </w:p>
    <w:p w14:paraId="595B62BD" w14:textId="77777777" w:rsidR="004C5412" w:rsidRPr="004C5412" w:rsidRDefault="004C5412" w:rsidP="004C5412">
      <w:pPr>
        <w:spacing w:after="0" w:line="240" w:lineRule="auto"/>
        <w:jc w:val="both"/>
        <w:rPr>
          <w:rFonts w:ascii="Times New Roman" w:eastAsiaTheme="minorEastAsia" w:hAnsi="Times New Roman" w:cs="Times New Roman"/>
          <w:b/>
          <w:sz w:val="24"/>
          <w:szCs w:val="24"/>
          <w:u w:val="single"/>
        </w:rPr>
      </w:pPr>
    </w:p>
    <w:p w14:paraId="21E7D63C" w14:textId="77777777" w:rsidR="004C5412" w:rsidRPr="004C5412" w:rsidRDefault="004C5412" w:rsidP="004C5412">
      <w:pPr>
        <w:spacing w:after="0" w:line="240" w:lineRule="auto"/>
        <w:jc w:val="both"/>
        <w:rPr>
          <w:rFonts w:ascii="Times New Roman" w:eastAsiaTheme="minorEastAsia" w:hAnsi="Times New Roman" w:cs="Times New Roman"/>
          <w:b/>
          <w:sz w:val="24"/>
          <w:szCs w:val="24"/>
          <w:u w:val="single"/>
        </w:rPr>
      </w:pPr>
    </w:p>
    <w:p w14:paraId="56129303"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b/>
          <w:sz w:val="24"/>
          <w:szCs w:val="24"/>
          <w:u w:val="single"/>
        </w:rPr>
      </w:pPr>
      <w:bookmarkStart w:id="4" w:name="_Hlk193494308"/>
      <w:r w:rsidRPr="004C5412">
        <w:rPr>
          <w:rFonts w:ascii="Times New Roman" w:eastAsiaTheme="minorEastAsia" w:hAnsi="Times New Roman" w:cs="Times New Roman"/>
          <w:b/>
          <w:sz w:val="24"/>
          <w:szCs w:val="24"/>
          <w:u w:val="single"/>
        </w:rPr>
        <w:t>Aktivnost A100002 Produženi boravak</w:t>
      </w:r>
    </w:p>
    <w:p w14:paraId="219EC46A" w14:textId="77777777" w:rsidR="004C5412" w:rsidRPr="004C5412" w:rsidRDefault="004C5412" w:rsidP="004C5412">
      <w:pPr>
        <w:spacing w:after="0" w:line="240" w:lineRule="auto"/>
        <w:ind w:left="720"/>
        <w:jc w:val="both"/>
        <w:rPr>
          <w:rFonts w:ascii="Times New Roman" w:eastAsiaTheme="minorEastAsia" w:hAnsi="Times New Roman" w:cs="Times New Roman"/>
          <w:b/>
          <w:sz w:val="24"/>
          <w:szCs w:val="24"/>
          <w:u w:val="single"/>
        </w:rPr>
      </w:pPr>
    </w:p>
    <w:p w14:paraId="62E1E6AE"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Aktivnost A100002 Produženi boravak</w:t>
      </w:r>
      <w:r w:rsidRPr="004C5412">
        <w:rPr>
          <w:rFonts w:ascii="Times New Roman" w:eastAsiaTheme="minorEastAsia" w:hAnsi="Times New Roman" w:cs="Times New Roman"/>
          <w:sz w:val="24"/>
          <w:szCs w:val="24"/>
        </w:rPr>
        <w:t xml:space="preserve"> koji se financira iz Izvora 1.2. Ostali opći prihodi iznosi 36.356,50 eura, a izvršenje u 2024. godini iznosi 36.356,50 eura.</w:t>
      </w:r>
    </w:p>
    <w:p w14:paraId="0F5B88B1"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Cilj: produženi boravak za 20 učenika u programu Produženog boravka obuhvaća aktivnosti u kojima će učenici napisati domaću zadaću, baviti se kreativnim i sportskim aktivnostima te će im biti osigurana tri obroka u danu; osiguranje plaće i svih materijalnih prava za učitelja i kuharicu Produženog boravka.</w:t>
      </w:r>
    </w:p>
    <w:p w14:paraId="45979BDB"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Pokazatelj uspješnosti:  Realizacija programa Produženog boravka, osiguranje uvjeta za rad i izvršenje svih aktivnosti predviđenih Planom i programom rada u Produženom boravku, osiguranje prehrane za učenike, zadovoljstvo roditelja pruženim programom i podmirenje plaća za učitelja i kuharicu.</w:t>
      </w:r>
    </w:p>
    <w:bookmarkEnd w:id="4"/>
    <w:p w14:paraId="64430B2E"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7B10CFC1"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b/>
          <w:sz w:val="24"/>
          <w:szCs w:val="24"/>
          <w:u w:val="single"/>
        </w:rPr>
        <w:t>Aktivnost A100004 Učenička društva</w:t>
      </w:r>
    </w:p>
    <w:p w14:paraId="4EFF1C78" w14:textId="77777777" w:rsidR="004C5412" w:rsidRPr="004C5412" w:rsidRDefault="004C5412" w:rsidP="004C5412">
      <w:pPr>
        <w:spacing w:after="0" w:line="240" w:lineRule="auto"/>
        <w:ind w:left="720"/>
        <w:jc w:val="both"/>
        <w:rPr>
          <w:rFonts w:ascii="Times New Roman" w:eastAsiaTheme="minorEastAsia" w:hAnsi="Times New Roman" w:cs="Times New Roman"/>
          <w:sz w:val="24"/>
          <w:szCs w:val="24"/>
        </w:rPr>
      </w:pPr>
    </w:p>
    <w:p w14:paraId="2BF3FD17"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Aktivnost A100004 Učenička društva </w:t>
      </w:r>
      <w:r w:rsidRPr="004C5412">
        <w:rPr>
          <w:rFonts w:ascii="Times New Roman" w:eastAsiaTheme="minorEastAsia" w:hAnsi="Times New Roman" w:cs="Times New Roman"/>
          <w:sz w:val="24"/>
          <w:szCs w:val="24"/>
        </w:rPr>
        <w:t xml:space="preserve">koji se financira iz Izvora 4.7. Prihodi za posebne namjene iznosi 99,05 eura, a izvršenje u 2024. godini iznosi 337,92 eura. </w:t>
      </w:r>
    </w:p>
    <w:p w14:paraId="4A41187F"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Cilj: Učenička društva izrađuju razne rukotvorine koje prodaju na raznim manifestacijama i tako ostvaruju prihod za daljnji rad.</w:t>
      </w:r>
    </w:p>
    <w:p w14:paraId="3E55A25E"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Pokazatelj uspješnosti: Uključivanje učenika u izvannastavne aktivnosti. </w:t>
      </w:r>
    </w:p>
    <w:p w14:paraId="7642CF01"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7C0C57EA"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rPr>
      </w:pPr>
      <w:bookmarkStart w:id="5" w:name="_Hlk193494711"/>
      <w:r w:rsidRPr="004C5412">
        <w:rPr>
          <w:rFonts w:ascii="Times New Roman" w:eastAsiaTheme="minorEastAsia" w:hAnsi="Times New Roman" w:cs="Times New Roman"/>
          <w:b/>
          <w:sz w:val="24"/>
          <w:szCs w:val="24"/>
          <w:u w:val="single"/>
        </w:rPr>
        <w:t>Aktivnost A100006 Plaće u prosvjeti – državni proračun</w:t>
      </w:r>
    </w:p>
    <w:p w14:paraId="0095A446"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07CBB314"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Aktivnost A100006 Plaće u prosvjeti </w:t>
      </w:r>
      <w:r w:rsidRPr="004C5412">
        <w:rPr>
          <w:rFonts w:ascii="Times New Roman" w:eastAsiaTheme="minorEastAsia" w:hAnsi="Times New Roman" w:cs="Times New Roman"/>
          <w:sz w:val="24"/>
          <w:szCs w:val="24"/>
        </w:rPr>
        <w:t>koji se financira iz Izvora 5.7. Tekuće pomoći PK iznosi 444.025,08 eura, a izvršenje u 2024. godini iznosi 444.025,08 eura.</w:t>
      </w:r>
    </w:p>
    <w:p w14:paraId="2CA1A8BC"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Iz navedene Aktivnosti financiraju se plaće i ostala materijalna prava zaposlenika koji su djelatnici Ministarstva znanosti i obrazovanja, u prosjeku 45 zaposlenika. </w:t>
      </w:r>
    </w:p>
    <w:p w14:paraId="50D3088E"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4AFC0005"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rPr>
      </w:pPr>
      <w:bookmarkStart w:id="6" w:name="_Hlk193494510"/>
      <w:bookmarkEnd w:id="5"/>
      <w:r w:rsidRPr="004C5412">
        <w:rPr>
          <w:rFonts w:ascii="Times New Roman" w:eastAsiaTheme="minorEastAsia" w:hAnsi="Times New Roman" w:cs="Times New Roman"/>
          <w:b/>
          <w:sz w:val="24"/>
          <w:szCs w:val="24"/>
          <w:u w:val="single"/>
        </w:rPr>
        <w:t>Aktivnost A100007 Školska kuhinja</w:t>
      </w:r>
    </w:p>
    <w:p w14:paraId="4099AC76" w14:textId="77777777" w:rsidR="004C5412" w:rsidRPr="004C5412" w:rsidRDefault="004C5412" w:rsidP="004C5412">
      <w:pPr>
        <w:spacing w:after="0" w:line="240" w:lineRule="auto"/>
        <w:ind w:left="720"/>
        <w:jc w:val="both"/>
        <w:rPr>
          <w:rFonts w:ascii="Times New Roman" w:eastAsiaTheme="minorEastAsia" w:hAnsi="Times New Roman" w:cs="Times New Roman"/>
          <w:sz w:val="24"/>
          <w:szCs w:val="24"/>
        </w:rPr>
      </w:pPr>
    </w:p>
    <w:p w14:paraId="627A133E"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Aktivnost A100007 Školska kuhinja </w:t>
      </w:r>
      <w:r w:rsidRPr="004C5412">
        <w:rPr>
          <w:rFonts w:ascii="Times New Roman" w:eastAsiaTheme="minorEastAsia" w:hAnsi="Times New Roman" w:cs="Times New Roman"/>
          <w:sz w:val="24"/>
          <w:szCs w:val="24"/>
        </w:rPr>
        <w:t>koji se financira iz Izvora 4.7. Prihodi za posebne namjene iznosi 1.145,67 eura, a izvršenje u 2024. godini iznosi 1.145,67 eura.</w:t>
      </w:r>
    </w:p>
    <w:p w14:paraId="00410C57"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Aktivnosti školske kuhinje obuhvaćaju osiguranje prehrane za učenike koje sufinanciraju roditelji djece polaznika programa Produženog boravka za razliku iznosa cijene boravka i dnevne cijene prehrane koje financira Ministarstvo znanosti i obrazovanja.</w:t>
      </w:r>
    </w:p>
    <w:p w14:paraId="5A831EC6"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   </w:t>
      </w:r>
    </w:p>
    <w:p w14:paraId="73408278"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Aktivnost A100007 Školska kuhinja </w:t>
      </w:r>
      <w:r w:rsidRPr="004C5412">
        <w:rPr>
          <w:rFonts w:ascii="Times New Roman" w:eastAsiaTheme="minorEastAsia" w:hAnsi="Times New Roman" w:cs="Times New Roman"/>
          <w:sz w:val="24"/>
          <w:szCs w:val="24"/>
        </w:rPr>
        <w:t>koji se financira iz Izvora 5.7. Tekuće pomoći PK iznosi 16.472,05 eura, a izvršenje u 2024. godini iznosi 16.530,46 eura.</w:t>
      </w:r>
    </w:p>
    <w:p w14:paraId="0CDA3D71"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lastRenderedPageBreak/>
        <w:t>Ministarstvo znanosti i obrazovanja osiguralo je besplatnu prehranu prema Vladinoj odluci o kriterijima i načinu financiranja, odnosno sufinanciranja troškova prehrane za učenike osnovnih škola.</w:t>
      </w:r>
    </w:p>
    <w:p w14:paraId="2B73D7AB"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Pokazatelj uspješnosti: osiguranje besplatne prehrane za sve učenika.</w:t>
      </w:r>
    </w:p>
    <w:bookmarkEnd w:id="6"/>
    <w:p w14:paraId="162576C4"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364A0729"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51016E16"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u w:val="single"/>
        </w:rPr>
      </w:pPr>
      <w:r w:rsidRPr="004C5412">
        <w:rPr>
          <w:rFonts w:ascii="Times New Roman" w:eastAsiaTheme="minorEastAsia" w:hAnsi="Times New Roman" w:cs="Times New Roman"/>
          <w:b/>
          <w:sz w:val="24"/>
          <w:szCs w:val="24"/>
          <w:u w:val="single"/>
        </w:rPr>
        <w:t>Tekući projekt T100002 Redovna djelatnosti škole izvan standarda</w:t>
      </w:r>
    </w:p>
    <w:p w14:paraId="3EE912B1" w14:textId="77777777" w:rsidR="004C5412" w:rsidRPr="004C5412" w:rsidRDefault="004C5412" w:rsidP="004C5412">
      <w:pPr>
        <w:spacing w:after="0" w:line="240" w:lineRule="auto"/>
        <w:jc w:val="both"/>
        <w:rPr>
          <w:rFonts w:ascii="Times New Roman" w:eastAsiaTheme="minorEastAsia" w:hAnsi="Times New Roman" w:cs="Times New Roman"/>
          <w:b/>
          <w:sz w:val="24"/>
          <w:szCs w:val="24"/>
        </w:rPr>
      </w:pPr>
      <w:r w:rsidRPr="004C5412">
        <w:rPr>
          <w:rFonts w:ascii="Times New Roman" w:eastAsiaTheme="minorEastAsia" w:hAnsi="Times New Roman" w:cs="Times New Roman"/>
          <w:b/>
          <w:sz w:val="24"/>
          <w:szCs w:val="24"/>
        </w:rPr>
        <w:t xml:space="preserve"> </w:t>
      </w:r>
    </w:p>
    <w:p w14:paraId="0E7EDBD5"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bookmarkStart w:id="7" w:name="_Hlk140571377"/>
      <w:r w:rsidRPr="004C5412">
        <w:rPr>
          <w:rFonts w:ascii="Times New Roman" w:eastAsiaTheme="minorEastAsia" w:hAnsi="Times New Roman" w:cs="Times New Roman"/>
          <w:b/>
          <w:sz w:val="24"/>
          <w:szCs w:val="24"/>
        </w:rPr>
        <w:t xml:space="preserve">Tekući projekt T100002 Redovna djelatnosti škole izvan standarda </w:t>
      </w:r>
      <w:bookmarkEnd w:id="7"/>
      <w:r w:rsidRPr="004C5412">
        <w:rPr>
          <w:rFonts w:ascii="Times New Roman" w:eastAsiaTheme="minorEastAsia" w:hAnsi="Times New Roman" w:cs="Times New Roman"/>
          <w:sz w:val="24"/>
          <w:szCs w:val="24"/>
        </w:rPr>
        <w:t>koji se financira iz Izvora 1.1. Prihodi od poreza iznosi 5.286,24 eura, a izvršenje u 2024. godini iznosi 5.286,24 eura.</w:t>
      </w:r>
    </w:p>
    <w:p w14:paraId="33C43174"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Navedeni Projekt obuhvaća naknadu za rad članova Školskih odbora Osnovnih škola kojima je Grad Gospić osnivač. Iznos mjesečne naknade za predsjednika Školskog odbora iznosi 63,04 eura, a za članove 53,09 eura. Ukupan broj članova Školskog odbora iznosi sedam (7).</w:t>
      </w:r>
    </w:p>
    <w:p w14:paraId="08A9F607" w14:textId="77777777" w:rsidR="004C5412" w:rsidRPr="004C5412" w:rsidRDefault="004C5412" w:rsidP="004C5412">
      <w:pPr>
        <w:spacing w:after="0" w:line="240" w:lineRule="auto"/>
        <w:jc w:val="both"/>
        <w:rPr>
          <w:rFonts w:ascii="Times New Roman" w:eastAsiaTheme="minorEastAsia" w:hAnsi="Times New Roman" w:cs="Times New Roman"/>
          <w:sz w:val="24"/>
          <w:szCs w:val="24"/>
          <w:lang w:eastAsia="hr-HR"/>
        </w:rPr>
      </w:pPr>
    </w:p>
    <w:p w14:paraId="7B501792"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Tekući projekt T100002 Redovna djelatnosti škole izvan standarda </w:t>
      </w:r>
      <w:r w:rsidRPr="004C5412">
        <w:rPr>
          <w:rFonts w:ascii="Times New Roman" w:eastAsiaTheme="minorEastAsia" w:hAnsi="Times New Roman" w:cs="Times New Roman"/>
          <w:sz w:val="24"/>
          <w:szCs w:val="24"/>
        </w:rPr>
        <w:t>koji se financira iz Izvora 4.7. Prihodi za posebne namjene iznosi 1.500,00 eura Izvršenje iznosi 1.500,00 eura, a odnosi se na rashode volonterskog kluba „Kad odrastem bit ću…VOLONTER“.</w:t>
      </w:r>
    </w:p>
    <w:p w14:paraId="4AA5429C"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Pokazatelj uspješnosti: sudjelovanje učenika na raznim volonterskim susretima. </w:t>
      </w:r>
    </w:p>
    <w:p w14:paraId="40F93D34" w14:textId="77777777" w:rsidR="004C5412" w:rsidRPr="004C5412" w:rsidRDefault="004C5412" w:rsidP="004C5412">
      <w:pPr>
        <w:jc w:val="both"/>
        <w:rPr>
          <w:rFonts w:ascii="Times New Roman" w:eastAsiaTheme="minorEastAsia" w:hAnsi="Times New Roman" w:cs="Times New Roman"/>
          <w:sz w:val="24"/>
          <w:szCs w:val="24"/>
          <w:lang w:eastAsia="hr-HR"/>
        </w:rPr>
      </w:pPr>
    </w:p>
    <w:p w14:paraId="34ADC843"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Tekući projekt T100002 Redovna djelatnosti škole izvan standarda </w:t>
      </w:r>
      <w:r w:rsidRPr="004C5412">
        <w:rPr>
          <w:rFonts w:ascii="Times New Roman" w:eastAsiaTheme="minorEastAsia" w:hAnsi="Times New Roman" w:cs="Times New Roman"/>
          <w:sz w:val="24"/>
          <w:szCs w:val="24"/>
        </w:rPr>
        <w:t>koji se financira iz Izvora 5.7. Tekuće pomoći PK iznosi 612,85 eura. Izvršenje iznosi 612,85 eura, a odnosi se na rashode županijskih natjecanja koja se financiraju sredstvima Ličko-senjske županije.</w:t>
      </w:r>
    </w:p>
    <w:p w14:paraId="09E87A0D"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Pokazatelj uspješnosti: sudjelovanje učenika na županijskim natjecanjima.</w:t>
      </w:r>
    </w:p>
    <w:p w14:paraId="369EF1AE"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0AAA7974"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u w:val="single"/>
        </w:rPr>
      </w:pPr>
      <w:bookmarkStart w:id="8" w:name="_Hlk193495078"/>
      <w:r w:rsidRPr="004C5412">
        <w:rPr>
          <w:rFonts w:ascii="Times New Roman" w:eastAsiaTheme="minorEastAsia" w:hAnsi="Times New Roman" w:cs="Times New Roman"/>
          <w:b/>
          <w:sz w:val="24"/>
          <w:szCs w:val="24"/>
          <w:u w:val="single"/>
        </w:rPr>
        <w:t>Tekući projekt T100003 Ostale aktivnosti i projekti (vannastavni)</w:t>
      </w:r>
    </w:p>
    <w:p w14:paraId="4902176E" w14:textId="77777777" w:rsidR="004C5412" w:rsidRPr="004C5412" w:rsidRDefault="004C5412" w:rsidP="004C5412">
      <w:pPr>
        <w:spacing w:after="0" w:line="240" w:lineRule="auto"/>
        <w:ind w:left="720"/>
        <w:jc w:val="both"/>
        <w:rPr>
          <w:rFonts w:ascii="Times New Roman" w:eastAsiaTheme="minorEastAsia" w:hAnsi="Times New Roman" w:cs="Times New Roman"/>
          <w:sz w:val="24"/>
          <w:szCs w:val="24"/>
        </w:rPr>
      </w:pPr>
    </w:p>
    <w:p w14:paraId="7049AAF4"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bookmarkStart w:id="9" w:name="_Hlk193491558"/>
      <w:bookmarkStart w:id="10" w:name="_Hlk134530388"/>
      <w:r w:rsidRPr="004C5412">
        <w:rPr>
          <w:rFonts w:ascii="Times New Roman" w:eastAsiaTheme="minorEastAsia" w:hAnsi="Times New Roman" w:cs="Times New Roman"/>
          <w:b/>
          <w:sz w:val="24"/>
          <w:szCs w:val="24"/>
        </w:rPr>
        <w:t xml:space="preserve">Tekući projekt T100003 Ostale aktivnosti i projekti (vannastavni) </w:t>
      </w:r>
      <w:bookmarkEnd w:id="9"/>
      <w:r w:rsidRPr="004C5412">
        <w:rPr>
          <w:rFonts w:ascii="Times New Roman" w:eastAsiaTheme="minorEastAsia" w:hAnsi="Times New Roman" w:cs="Times New Roman"/>
          <w:sz w:val="24"/>
          <w:szCs w:val="24"/>
        </w:rPr>
        <w:t xml:space="preserve">koji </w:t>
      </w:r>
      <w:bookmarkEnd w:id="10"/>
      <w:r w:rsidRPr="004C5412">
        <w:rPr>
          <w:rFonts w:ascii="Times New Roman" w:eastAsiaTheme="minorEastAsia" w:hAnsi="Times New Roman" w:cs="Times New Roman"/>
          <w:sz w:val="24"/>
          <w:szCs w:val="24"/>
        </w:rPr>
        <w:t>se financira</w:t>
      </w:r>
      <w:r w:rsidRPr="004C5412">
        <w:rPr>
          <w:rFonts w:ascii="Times New Roman" w:eastAsiaTheme="minorEastAsia" w:hAnsi="Times New Roman" w:cs="Times New Roman"/>
          <w:b/>
          <w:sz w:val="24"/>
          <w:szCs w:val="24"/>
        </w:rPr>
        <w:t xml:space="preserve"> </w:t>
      </w:r>
      <w:r w:rsidRPr="004C5412">
        <w:rPr>
          <w:rFonts w:ascii="Times New Roman" w:eastAsiaTheme="minorEastAsia" w:hAnsi="Times New Roman" w:cs="Times New Roman"/>
          <w:sz w:val="24"/>
          <w:szCs w:val="24"/>
        </w:rPr>
        <w:t>iz Izvora 3.2. Vlastiti prihodi iznosi 303,53 eura, a izvršenje u 2024. godini iznosi 349,43 eura.</w:t>
      </w:r>
    </w:p>
    <w:p w14:paraId="5530443B"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Vlastiti prihodi podrazumijevaju prihode od najma školskog prostora i opreme škole te prodaje hrane iz školske kuhinje zaposlenicima škole za podmirenje određenih rashoda predviđenim planom.</w:t>
      </w:r>
    </w:p>
    <w:bookmarkEnd w:id="8"/>
    <w:p w14:paraId="37B6735C"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6D7467C9"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bookmarkStart w:id="11" w:name="_Hlk134530788"/>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Tekući projekt T100003 Ostale aktivnosti i projekti (vannastavni) </w:t>
      </w:r>
      <w:bookmarkEnd w:id="11"/>
      <w:r w:rsidRPr="004C5412">
        <w:rPr>
          <w:rFonts w:ascii="Times New Roman" w:eastAsiaTheme="minorEastAsia" w:hAnsi="Times New Roman" w:cs="Times New Roman"/>
          <w:sz w:val="24"/>
          <w:szCs w:val="24"/>
        </w:rPr>
        <w:t>koji se financira iz Izvora 5.7. Tekuće pomoći prihodi iznose 261,00 eura. Izvršenje iznosi 306,90 eura, a odnosi se na rashode za nabavu higijenskih potrepština koje su financirane iz Državnog proračuna temeljem Odluke o kriterijima i načinu dodjele sredstava radi opskrbe školskih ustanova i skloništa za žene žrtve nasilja besplatnim zalihama menstrualnih higijenskih potrepština.</w:t>
      </w:r>
    </w:p>
    <w:p w14:paraId="25BE8248"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1898CC2A"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u w:val="single"/>
        </w:rPr>
      </w:pPr>
      <w:bookmarkStart w:id="12" w:name="_Hlk193495512"/>
      <w:r w:rsidRPr="004C5412">
        <w:rPr>
          <w:rFonts w:ascii="Times New Roman" w:eastAsiaTheme="minorEastAsia" w:hAnsi="Times New Roman" w:cs="Times New Roman"/>
          <w:b/>
          <w:sz w:val="24"/>
          <w:szCs w:val="24"/>
          <w:u w:val="single"/>
        </w:rPr>
        <w:t>Tekući projekt T100005 Korak prema jednakosti (MZOS-EU)</w:t>
      </w:r>
    </w:p>
    <w:p w14:paraId="38DD3017"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188AAB1D"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bookmarkStart w:id="13" w:name="_Hlk193492381"/>
      <w:r w:rsidRPr="004C5412">
        <w:rPr>
          <w:rFonts w:ascii="Times New Roman" w:eastAsiaTheme="minorEastAsia" w:hAnsi="Times New Roman" w:cs="Times New Roman"/>
          <w:b/>
          <w:sz w:val="24"/>
          <w:szCs w:val="24"/>
        </w:rPr>
        <w:t xml:space="preserve">Tekući projekt T100005 Korak prema jednakosti (MZOS-EU) </w:t>
      </w:r>
      <w:bookmarkEnd w:id="13"/>
      <w:r w:rsidRPr="004C5412">
        <w:rPr>
          <w:rFonts w:ascii="Times New Roman" w:eastAsiaTheme="minorEastAsia" w:hAnsi="Times New Roman" w:cs="Times New Roman"/>
          <w:sz w:val="24"/>
          <w:szCs w:val="24"/>
        </w:rPr>
        <w:t>koji se financira iz Izvora 1.2. Ostali opći prihodi iznosi 2.993,11 eura, a izvršenje u 2024. godini iznosi 3.300,06 eura.</w:t>
      </w:r>
    </w:p>
    <w:p w14:paraId="1AD33953"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Cilj ovog Projekta „Korak prema jednakosti 5“ je osiguranje dijela plaće za ukupno pet (5)  asistenta u nastavi  u školskoj godini 2024./2025.</w:t>
      </w:r>
    </w:p>
    <w:p w14:paraId="344AEB10"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lastRenderedPageBreak/>
        <w:t>Grad Gospić, kao Osnivač škole, osigurao je i realizirao 15% ukupnih rashoda za plaće i materijalna prava asistenata u nastavi kroz Projekt „Korak prema jednakosti 5“.</w:t>
      </w:r>
    </w:p>
    <w:p w14:paraId="39288A59"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Pokazatelj uspješnosti: Pomoć pri radu i učenju učenicima koji pohađaju nastavu po prilagođenom programu.</w:t>
      </w:r>
    </w:p>
    <w:p w14:paraId="63504163"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18E950A1"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Tekući projekt T100005 Korak prema jednakosti (MZOS-EU)</w:t>
      </w:r>
      <w:r w:rsidRPr="004C5412">
        <w:rPr>
          <w:rFonts w:ascii="Times New Roman" w:eastAsiaTheme="minorEastAsia" w:hAnsi="Times New Roman" w:cs="Times New Roman"/>
          <w:sz w:val="24"/>
          <w:szCs w:val="24"/>
        </w:rPr>
        <w:t xml:space="preserve"> koji se financira  iz Izvora 5.6. Prijenos sredstava EU iznosi 25.438,32 eura, a izvršenje u 2024. godini iznosi 25.438,32 eura. </w:t>
      </w:r>
    </w:p>
    <w:p w14:paraId="49C6E5E9"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Cilj ovog Projekta „Korak prema jednakosti 5“ je osiguranje dijela plaće za ukupno pet (5) asistenata u nastavi u školskoj godini 2024./2025. </w:t>
      </w:r>
    </w:p>
    <w:p w14:paraId="6E6F090A"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Pokazatelj uspješnosti: Pomoć pri radu i učenju učenicima koji pohađaju nastavu po prilagođenom programu.</w:t>
      </w:r>
    </w:p>
    <w:p w14:paraId="34BAA5F7" w14:textId="21CA2E2F" w:rsidR="004C5412" w:rsidRDefault="004C5412" w:rsidP="004C5412">
      <w:pPr>
        <w:spacing w:after="0" w:line="240" w:lineRule="auto"/>
        <w:jc w:val="both"/>
        <w:rPr>
          <w:rFonts w:ascii="Times New Roman" w:eastAsiaTheme="minorEastAsia" w:hAnsi="Times New Roman" w:cs="Times New Roman"/>
          <w:sz w:val="24"/>
          <w:szCs w:val="24"/>
        </w:rPr>
      </w:pPr>
    </w:p>
    <w:p w14:paraId="645A8A94" w14:textId="77777777" w:rsidR="00281855" w:rsidRPr="004C5412" w:rsidRDefault="00281855" w:rsidP="004C5412">
      <w:pPr>
        <w:spacing w:after="0" w:line="240" w:lineRule="auto"/>
        <w:jc w:val="both"/>
        <w:rPr>
          <w:rFonts w:ascii="Times New Roman" w:eastAsiaTheme="minorEastAsia" w:hAnsi="Times New Roman" w:cs="Times New Roman"/>
          <w:sz w:val="24"/>
          <w:szCs w:val="24"/>
        </w:rPr>
      </w:pPr>
    </w:p>
    <w:bookmarkEnd w:id="12"/>
    <w:p w14:paraId="777DCCC5"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30258BD1" w14:textId="77777777" w:rsidR="004C5412" w:rsidRPr="004C5412" w:rsidRDefault="004C5412" w:rsidP="004C5412">
      <w:pPr>
        <w:numPr>
          <w:ilvl w:val="0"/>
          <w:numId w:val="7"/>
        </w:num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b/>
          <w:sz w:val="24"/>
          <w:szCs w:val="24"/>
        </w:rPr>
        <w:t>G01 GLAVNI PROGRAM: NOVI PROGRAM</w:t>
      </w:r>
    </w:p>
    <w:p w14:paraId="2B719A48" w14:textId="2254423E" w:rsidR="004C5412" w:rsidRDefault="004C5412" w:rsidP="004C5412">
      <w:pPr>
        <w:spacing w:after="0" w:line="240" w:lineRule="auto"/>
        <w:ind w:left="720"/>
        <w:jc w:val="both"/>
        <w:rPr>
          <w:rFonts w:ascii="Times New Roman" w:eastAsiaTheme="minorEastAsia" w:hAnsi="Times New Roman" w:cs="Times New Roman"/>
          <w:b/>
          <w:sz w:val="24"/>
          <w:szCs w:val="24"/>
        </w:rPr>
      </w:pPr>
      <w:r w:rsidRPr="004C5412">
        <w:rPr>
          <w:rFonts w:ascii="Times New Roman" w:eastAsiaTheme="minorEastAsia" w:hAnsi="Times New Roman" w:cs="Times New Roman"/>
          <w:b/>
          <w:sz w:val="24"/>
          <w:szCs w:val="24"/>
        </w:rPr>
        <w:t>4004 Program: Osnovno i srednjoškolsko obrazovanje</w:t>
      </w:r>
    </w:p>
    <w:p w14:paraId="157E1A78" w14:textId="77777777" w:rsidR="00281855" w:rsidRPr="004C5412" w:rsidRDefault="00281855" w:rsidP="004C5412">
      <w:pPr>
        <w:spacing w:after="0" w:line="240" w:lineRule="auto"/>
        <w:ind w:left="720"/>
        <w:jc w:val="both"/>
        <w:rPr>
          <w:rFonts w:ascii="Times New Roman" w:eastAsiaTheme="minorEastAsia" w:hAnsi="Times New Roman" w:cs="Times New Roman"/>
          <w:b/>
          <w:sz w:val="24"/>
          <w:szCs w:val="24"/>
        </w:rPr>
      </w:pPr>
    </w:p>
    <w:p w14:paraId="40388F54" w14:textId="77777777" w:rsidR="004C5412" w:rsidRPr="004C5412" w:rsidRDefault="004C5412" w:rsidP="004C5412">
      <w:pPr>
        <w:spacing w:after="0" w:line="240" w:lineRule="auto"/>
        <w:jc w:val="both"/>
        <w:rPr>
          <w:rFonts w:ascii="Times New Roman" w:eastAsiaTheme="minorEastAsia" w:hAnsi="Times New Roman" w:cs="Times New Roman"/>
          <w:b/>
          <w:sz w:val="24"/>
          <w:szCs w:val="24"/>
        </w:rPr>
      </w:pPr>
    </w:p>
    <w:p w14:paraId="54DF54D1" w14:textId="77777777" w:rsidR="004C5412" w:rsidRPr="004C5412" w:rsidRDefault="004C5412" w:rsidP="004C5412">
      <w:pPr>
        <w:spacing w:after="0" w:line="240" w:lineRule="auto"/>
        <w:jc w:val="both"/>
        <w:rPr>
          <w:rFonts w:ascii="Times New Roman" w:eastAsiaTheme="minorEastAsia" w:hAnsi="Times New Roman" w:cs="Times New Roman"/>
          <w:b/>
          <w:sz w:val="24"/>
          <w:szCs w:val="24"/>
          <w:u w:val="single"/>
        </w:rPr>
      </w:pPr>
      <w:r w:rsidRPr="004C5412">
        <w:rPr>
          <w:rFonts w:ascii="Times New Roman" w:eastAsiaTheme="minorEastAsia" w:hAnsi="Times New Roman" w:cs="Times New Roman"/>
          <w:b/>
          <w:sz w:val="24"/>
          <w:szCs w:val="24"/>
          <w:u w:val="single"/>
        </w:rPr>
        <w:t>A400402 Aktivnost: Materijalni rashodi po zakonskom standardu</w:t>
      </w:r>
    </w:p>
    <w:p w14:paraId="16C5C4D3" w14:textId="77777777" w:rsidR="004C5412" w:rsidRPr="004C5412" w:rsidRDefault="004C5412" w:rsidP="004C5412">
      <w:pPr>
        <w:spacing w:after="0" w:line="240" w:lineRule="auto"/>
        <w:jc w:val="both"/>
        <w:rPr>
          <w:rFonts w:ascii="Times New Roman" w:eastAsiaTheme="minorEastAsia" w:hAnsi="Times New Roman" w:cs="Times New Roman"/>
          <w:b/>
          <w:sz w:val="24"/>
          <w:szCs w:val="24"/>
          <w:u w:val="single"/>
        </w:rPr>
      </w:pPr>
    </w:p>
    <w:p w14:paraId="3C1C7F89"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Aktivnost A400402 Materijalni rashodi po zakonskom standardu</w:t>
      </w:r>
      <w:r w:rsidRPr="004C5412">
        <w:rPr>
          <w:rFonts w:ascii="Times New Roman" w:eastAsiaTheme="minorEastAsia" w:hAnsi="Times New Roman" w:cs="Times New Roman"/>
          <w:sz w:val="24"/>
          <w:szCs w:val="24"/>
        </w:rPr>
        <w:t xml:space="preserve"> koji se financiraju iz Izvora 1.1. Prihodi od poreza i Izvora 5.2. Tekuće pomoći (školstvo) iznosi 62.577,73 eura, a izvršenje za 2024. godinu iznosi 62.772,36 eura.</w:t>
      </w:r>
    </w:p>
    <w:p w14:paraId="2C557D0B"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66AAD367" w14:textId="77777777" w:rsidR="004C5412" w:rsidRPr="004C5412" w:rsidRDefault="004C5412" w:rsidP="004C5412">
      <w:pPr>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Izvršenje iz Izvora 1.1. Prihodi od poreza iznosi 18.268,96 eura iz kojih su u potpunosti financirani rashodi za prijevoz učenika.</w:t>
      </w:r>
    </w:p>
    <w:p w14:paraId="427D1067"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Izvršenje iz izvora 5.2. Tekuće pomoći (školstvo) iznosi 44.503,40 eura iz kojih su financirani rashodi za službena putovanja, stručna usavršavanja, ostale naknade troškova zaposlenih, uredski materijal, energija, materijal za održavanje, sitni inventar, službena radan i zaštitna odjeća i obuća, usluge telefona pošte i prijevoza, usluge tekućeg i investicijskog održavanja, komunalne usluge, zdravstvene usluge, intelektualne usluge, računalne usluge, premije osiguranja, ostali nespomenuti rashodi poslovanja, financijski rashodi te naknade građanima i kućanstvima u naravi (prijevoz učenika). Također su značajniji rashodi za komunalne usluge, uredski materijal usluge telefona, pošte i prijevoza. </w:t>
      </w:r>
    </w:p>
    <w:p w14:paraId="52EB0E2B"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Najveći dio rashoda odnosi na prijevoz učenika, energente i usluge tekućeg i investicijskog održavanja.</w:t>
      </w:r>
    </w:p>
    <w:p w14:paraId="1E8B5DCA"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Cilj: Tijekom 2024. godine osigurana su sredstva za sve aktivnosti predviđene financijskim planom.</w:t>
      </w:r>
    </w:p>
    <w:p w14:paraId="6399E3E0"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Pokazatelj uspješnosti: Svi navedeni radovi predviđeni Planom su u cijelosti realizirani. Osiguran je i realiziran prijevoz učenika iz </w:t>
      </w:r>
      <w:proofErr w:type="spellStart"/>
      <w:r w:rsidRPr="004C5412">
        <w:rPr>
          <w:rFonts w:ascii="Times New Roman" w:eastAsiaTheme="minorEastAsia" w:hAnsi="Times New Roman" w:cs="Times New Roman"/>
          <w:sz w:val="24"/>
          <w:szCs w:val="24"/>
        </w:rPr>
        <w:t>Vukšića</w:t>
      </w:r>
      <w:proofErr w:type="spellEnd"/>
      <w:r w:rsidRPr="004C5412">
        <w:rPr>
          <w:rFonts w:ascii="Times New Roman" w:eastAsiaTheme="minorEastAsia" w:hAnsi="Times New Roman" w:cs="Times New Roman"/>
          <w:sz w:val="24"/>
          <w:szCs w:val="24"/>
        </w:rPr>
        <w:t xml:space="preserve">, </w:t>
      </w:r>
      <w:proofErr w:type="spellStart"/>
      <w:r w:rsidRPr="004C5412">
        <w:rPr>
          <w:rFonts w:ascii="Times New Roman" w:eastAsiaTheme="minorEastAsia" w:hAnsi="Times New Roman" w:cs="Times New Roman"/>
          <w:sz w:val="24"/>
          <w:szCs w:val="24"/>
        </w:rPr>
        <w:t>Mušaluka</w:t>
      </w:r>
      <w:proofErr w:type="spellEnd"/>
      <w:r w:rsidRPr="004C5412">
        <w:rPr>
          <w:rFonts w:ascii="Times New Roman" w:eastAsiaTheme="minorEastAsia" w:hAnsi="Times New Roman" w:cs="Times New Roman"/>
          <w:sz w:val="24"/>
          <w:szCs w:val="24"/>
        </w:rPr>
        <w:t xml:space="preserve">, Široke Kule i </w:t>
      </w:r>
      <w:proofErr w:type="spellStart"/>
      <w:r w:rsidRPr="004C5412">
        <w:rPr>
          <w:rFonts w:ascii="Times New Roman" w:eastAsiaTheme="minorEastAsia" w:hAnsi="Times New Roman" w:cs="Times New Roman"/>
          <w:sz w:val="24"/>
          <w:szCs w:val="24"/>
        </w:rPr>
        <w:t>Ostrvice</w:t>
      </w:r>
      <w:proofErr w:type="spellEnd"/>
      <w:r w:rsidRPr="004C5412">
        <w:rPr>
          <w:rFonts w:ascii="Times New Roman" w:eastAsiaTheme="minorEastAsia" w:hAnsi="Times New Roman" w:cs="Times New Roman"/>
          <w:sz w:val="24"/>
          <w:szCs w:val="24"/>
        </w:rPr>
        <w:t xml:space="preserve"> za 26 učenika, kupljen je uredski materijal za rad učitelja i učenika kako bi se nastava izvodila što kvalitetnije te redovno održavana oprema u školi. </w:t>
      </w:r>
    </w:p>
    <w:p w14:paraId="21C7EBE2"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0DB0F8F9" w14:textId="6CDAC5F7" w:rsidR="004C5412" w:rsidRDefault="004C5412" w:rsidP="004C5412">
      <w:pPr>
        <w:spacing w:after="0" w:line="240" w:lineRule="auto"/>
        <w:jc w:val="both"/>
        <w:rPr>
          <w:rFonts w:ascii="Times New Roman" w:eastAsiaTheme="minorEastAsia" w:hAnsi="Times New Roman" w:cs="Times New Roman"/>
          <w:sz w:val="24"/>
          <w:szCs w:val="24"/>
        </w:rPr>
      </w:pPr>
    </w:p>
    <w:p w14:paraId="1FE992C3" w14:textId="77777777" w:rsidR="00281855" w:rsidRPr="004C5412" w:rsidRDefault="00281855" w:rsidP="004C5412">
      <w:pPr>
        <w:spacing w:after="0" w:line="240" w:lineRule="auto"/>
        <w:jc w:val="both"/>
        <w:rPr>
          <w:rFonts w:ascii="Times New Roman" w:eastAsiaTheme="minorEastAsia" w:hAnsi="Times New Roman" w:cs="Times New Roman"/>
          <w:sz w:val="24"/>
          <w:szCs w:val="24"/>
        </w:rPr>
      </w:pPr>
    </w:p>
    <w:p w14:paraId="594C20F4"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b/>
          <w:sz w:val="24"/>
          <w:szCs w:val="24"/>
          <w:u w:val="single"/>
        </w:rPr>
      </w:pPr>
      <w:r w:rsidRPr="004C5412">
        <w:rPr>
          <w:rFonts w:ascii="Times New Roman" w:eastAsiaTheme="minorEastAsia" w:hAnsi="Times New Roman" w:cs="Times New Roman"/>
          <w:b/>
          <w:sz w:val="24"/>
          <w:szCs w:val="24"/>
          <w:u w:val="single"/>
        </w:rPr>
        <w:lastRenderedPageBreak/>
        <w:t>Aktivnost A400404 Produženi boravak</w:t>
      </w:r>
    </w:p>
    <w:p w14:paraId="589908D4" w14:textId="77777777" w:rsidR="004C5412" w:rsidRPr="004C5412" w:rsidRDefault="004C5412" w:rsidP="004C5412">
      <w:pPr>
        <w:spacing w:after="0" w:line="240" w:lineRule="auto"/>
        <w:ind w:left="720"/>
        <w:jc w:val="both"/>
        <w:rPr>
          <w:rFonts w:ascii="Times New Roman" w:eastAsiaTheme="minorEastAsia" w:hAnsi="Times New Roman" w:cs="Times New Roman"/>
          <w:b/>
          <w:sz w:val="24"/>
          <w:szCs w:val="24"/>
          <w:u w:val="single"/>
        </w:rPr>
      </w:pPr>
    </w:p>
    <w:p w14:paraId="01F4A534"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Aktivnost A400404 Produženi boravak</w:t>
      </w:r>
      <w:r w:rsidRPr="004C5412">
        <w:rPr>
          <w:rFonts w:ascii="Times New Roman" w:eastAsiaTheme="minorEastAsia" w:hAnsi="Times New Roman" w:cs="Times New Roman"/>
          <w:sz w:val="24"/>
          <w:szCs w:val="24"/>
        </w:rPr>
        <w:t xml:space="preserve"> koji se financira iz Izvora 1.2. Ostali opći prihodi iznosi 13.420,50 eura, a izvršenje u 2024. godini iznosi 13.291,05 eura.</w:t>
      </w:r>
    </w:p>
    <w:p w14:paraId="21727CDB"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Cilj: produženi boravak za 20 učenika u programu Produženog boravka obuhvaća aktivnosti u kojima će učenici napisati domaću zadaću, baviti se kreativnim i sportskim aktivnostima te će im biti osigurana tri obroka u danu; osiguranje plaće i svih materijalnih prava za učitelja i kuharicu Produženog boravka.</w:t>
      </w:r>
    </w:p>
    <w:p w14:paraId="402CA38B"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Pokazatelj uspješnosti:  Realizacija programa Produženog boravka, osiguranje uvjeta za rad i izvršenje svih aktivnosti predviđenih Planom i programom rada u Produženom boravku, osiguranje prehrane za učenike, zadovoljstvo roditelja pruženim programom i podmirenje plaća za učitelja i kuharicu.</w:t>
      </w:r>
    </w:p>
    <w:p w14:paraId="0B8AEF01" w14:textId="77777777" w:rsidR="004C5412" w:rsidRPr="004C5412" w:rsidRDefault="004C5412" w:rsidP="004C5412">
      <w:pPr>
        <w:jc w:val="both"/>
        <w:rPr>
          <w:rFonts w:ascii="Times New Roman" w:eastAsiaTheme="minorEastAsia" w:hAnsi="Times New Roman" w:cs="Times New Roman"/>
          <w:sz w:val="24"/>
          <w:szCs w:val="24"/>
          <w:lang w:eastAsia="hr-HR"/>
        </w:rPr>
      </w:pPr>
    </w:p>
    <w:p w14:paraId="6BFFB53B"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b/>
          <w:sz w:val="24"/>
          <w:szCs w:val="24"/>
          <w:u w:val="single"/>
        </w:rPr>
        <w:t>Aktivnost A400406 Školska kuhinja</w:t>
      </w:r>
    </w:p>
    <w:p w14:paraId="4BD8774B" w14:textId="77777777" w:rsidR="004C5412" w:rsidRPr="004C5412" w:rsidRDefault="004C5412" w:rsidP="004C5412">
      <w:pPr>
        <w:spacing w:after="0" w:line="240" w:lineRule="auto"/>
        <w:ind w:left="720"/>
        <w:jc w:val="both"/>
        <w:rPr>
          <w:rFonts w:ascii="Times New Roman" w:eastAsiaTheme="minorEastAsia" w:hAnsi="Times New Roman" w:cs="Times New Roman"/>
          <w:sz w:val="24"/>
          <w:szCs w:val="24"/>
        </w:rPr>
      </w:pPr>
    </w:p>
    <w:p w14:paraId="4A655096"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Aktivnost A400406 Školska kuhinja </w:t>
      </w:r>
      <w:r w:rsidRPr="004C5412">
        <w:rPr>
          <w:rFonts w:ascii="Times New Roman" w:eastAsiaTheme="minorEastAsia" w:hAnsi="Times New Roman" w:cs="Times New Roman"/>
          <w:sz w:val="24"/>
          <w:szCs w:val="24"/>
        </w:rPr>
        <w:t>koji se financira iz Izvora 4.7. Prihodi za posebne namjene iznosi 500,00 eura, a izvršenje u 2024. godini iznosi 1.262,41 eura.</w:t>
      </w:r>
    </w:p>
    <w:p w14:paraId="2BD16A41"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Aktivnosti školske kuhinje obuhvaćaju osiguranje prehrane za učenike koje sufinanciraju roditelji djece polaznika programa Produženog boravka za razliku iznosa cijene boravka i dnevne cijene prehrane koje financira Ministarstvo znanosti i obrazovanja.</w:t>
      </w:r>
    </w:p>
    <w:p w14:paraId="1BE5F856"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   </w:t>
      </w:r>
    </w:p>
    <w:p w14:paraId="6074C1F9"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Aktivnost A400406 Školska kuhinja </w:t>
      </w:r>
      <w:r w:rsidRPr="004C5412">
        <w:rPr>
          <w:rFonts w:ascii="Times New Roman" w:eastAsiaTheme="minorEastAsia" w:hAnsi="Times New Roman" w:cs="Times New Roman"/>
          <w:sz w:val="24"/>
          <w:szCs w:val="24"/>
        </w:rPr>
        <w:t>koji se financira iz Izvora 5.7. Tekuće pomoći PK iznosi 10.877,95 eura, a izvršenje u 2024. godini iznosi 11.580,60 eura.</w:t>
      </w:r>
    </w:p>
    <w:p w14:paraId="7A425947"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Ministarstvo znanosti i obrazovanja osiguralo je besplatnu prehranu prema Vladinoj odluci o kriterijima i načinu financiranja, odnosno sufinanciranja troškova prehrane za učenike osnovnih škola.</w:t>
      </w:r>
    </w:p>
    <w:p w14:paraId="5E67E13E"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Pokazatelj uspješnosti: osiguranje besplatne prehrane za sve učenika.</w:t>
      </w:r>
    </w:p>
    <w:p w14:paraId="5238E974" w14:textId="77777777" w:rsidR="004C5412" w:rsidRPr="004C5412" w:rsidRDefault="004C5412" w:rsidP="004C5412">
      <w:pPr>
        <w:jc w:val="both"/>
        <w:rPr>
          <w:rFonts w:ascii="Times New Roman" w:eastAsiaTheme="minorEastAsia" w:hAnsi="Times New Roman" w:cs="Times New Roman"/>
          <w:sz w:val="24"/>
          <w:szCs w:val="24"/>
          <w:lang w:eastAsia="hr-HR"/>
        </w:rPr>
      </w:pPr>
    </w:p>
    <w:p w14:paraId="6C60F07D"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b/>
          <w:sz w:val="24"/>
          <w:szCs w:val="24"/>
          <w:u w:val="single"/>
        </w:rPr>
        <w:t>Aktivnost A400410 Plaće u prosvjeti – državni proračun</w:t>
      </w:r>
    </w:p>
    <w:p w14:paraId="5DF6D415"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61332063"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Aktivnost A400410 Plaće u prosvjeti </w:t>
      </w:r>
      <w:r w:rsidRPr="004C5412">
        <w:rPr>
          <w:rFonts w:ascii="Times New Roman" w:eastAsiaTheme="minorEastAsia" w:hAnsi="Times New Roman" w:cs="Times New Roman"/>
          <w:sz w:val="24"/>
          <w:szCs w:val="24"/>
        </w:rPr>
        <w:t>koji se financira iz Izvora 5.7. Tekuće pomoći PK iznosi 460.574,92 eura, a izvršenje u 2024. godini iznosi 462.345.63 eura.</w:t>
      </w:r>
    </w:p>
    <w:p w14:paraId="016E725A"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Iz navedene Aktivnosti financiraju se plaće i ostala materijalna prava zaposlenika koji su djelatnici Ministarstva znanosti i obrazovanja, u prosjeku 45 zaposlenika. </w:t>
      </w:r>
    </w:p>
    <w:p w14:paraId="052587E4"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0BDAFB37"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u w:val="single"/>
        </w:rPr>
      </w:pPr>
      <w:r w:rsidRPr="004C5412">
        <w:rPr>
          <w:rFonts w:ascii="Times New Roman" w:eastAsiaTheme="minorEastAsia" w:hAnsi="Times New Roman" w:cs="Times New Roman"/>
          <w:b/>
          <w:sz w:val="24"/>
          <w:szCs w:val="24"/>
          <w:u w:val="single"/>
        </w:rPr>
        <w:t>Tekući projekt T400403 Redovna djelatnosti škole izvan standarda</w:t>
      </w:r>
    </w:p>
    <w:p w14:paraId="6AE43398" w14:textId="77777777" w:rsidR="004C5412" w:rsidRPr="004C5412" w:rsidRDefault="004C5412" w:rsidP="004C5412">
      <w:pPr>
        <w:spacing w:after="0" w:line="240" w:lineRule="auto"/>
        <w:jc w:val="both"/>
        <w:rPr>
          <w:rFonts w:ascii="Times New Roman" w:eastAsiaTheme="minorEastAsia" w:hAnsi="Times New Roman" w:cs="Times New Roman"/>
          <w:b/>
          <w:sz w:val="24"/>
          <w:szCs w:val="24"/>
        </w:rPr>
      </w:pPr>
      <w:r w:rsidRPr="004C5412">
        <w:rPr>
          <w:rFonts w:ascii="Times New Roman" w:eastAsiaTheme="minorEastAsia" w:hAnsi="Times New Roman" w:cs="Times New Roman"/>
          <w:b/>
          <w:sz w:val="24"/>
          <w:szCs w:val="24"/>
        </w:rPr>
        <w:t xml:space="preserve"> </w:t>
      </w:r>
    </w:p>
    <w:p w14:paraId="4F9C3B25"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Tekući projekt T400403 Redovna djelatnosti škole izvan standarda </w:t>
      </w:r>
      <w:r w:rsidRPr="004C5412">
        <w:rPr>
          <w:rFonts w:ascii="Times New Roman" w:eastAsiaTheme="minorEastAsia" w:hAnsi="Times New Roman" w:cs="Times New Roman"/>
          <w:sz w:val="24"/>
          <w:szCs w:val="24"/>
        </w:rPr>
        <w:t>koji se financira iz Izvora 1.1. Prihodi od poreza iznosi 1.762,76 eura, a izvršenje u 2024. godini iznosi 1.762,08 eura.</w:t>
      </w:r>
    </w:p>
    <w:p w14:paraId="3795E045" w14:textId="63FC9A2B" w:rsid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Navedeni Projekt obuhvaća naknadu za rad članova Školskih odbora Osnovnih škola kojima je Grad Gospić osnivač. Iznos mjesečne naknade za predsjednika Školskog odbora iznosi 63,04 eura, a za članove 53,09 eura. Ukupan broj članova Školskog odbora iznosi sedam (7).</w:t>
      </w:r>
    </w:p>
    <w:p w14:paraId="6CB34985" w14:textId="77777777" w:rsidR="00281855" w:rsidRPr="004C5412" w:rsidRDefault="00281855" w:rsidP="004C5412">
      <w:pPr>
        <w:spacing w:after="0" w:line="240" w:lineRule="auto"/>
        <w:jc w:val="both"/>
        <w:rPr>
          <w:rFonts w:ascii="Times New Roman" w:eastAsiaTheme="minorEastAsia" w:hAnsi="Times New Roman" w:cs="Times New Roman"/>
          <w:sz w:val="24"/>
          <w:szCs w:val="24"/>
        </w:rPr>
      </w:pPr>
      <w:bookmarkStart w:id="14" w:name="_GoBack"/>
      <w:bookmarkEnd w:id="14"/>
    </w:p>
    <w:p w14:paraId="0BC98B24" w14:textId="77777777" w:rsidR="004C5412" w:rsidRPr="004C5412" w:rsidRDefault="004C5412" w:rsidP="004C5412">
      <w:pPr>
        <w:spacing w:after="0" w:line="240" w:lineRule="auto"/>
        <w:jc w:val="both"/>
        <w:rPr>
          <w:rFonts w:ascii="Times New Roman" w:eastAsiaTheme="minorEastAsia" w:hAnsi="Times New Roman" w:cs="Times New Roman"/>
          <w:sz w:val="24"/>
          <w:szCs w:val="24"/>
          <w:lang w:eastAsia="hr-HR"/>
        </w:rPr>
      </w:pPr>
    </w:p>
    <w:p w14:paraId="4DEB8FE9"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u w:val="single"/>
        </w:rPr>
      </w:pPr>
      <w:r w:rsidRPr="004C5412">
        <w:rPr>
          <w:rFonts w:ascii="Times New Roman" w:eastAsiaTheme="minorEastAsia" w:hAnsi="Times New Roman" w:cs="Times New Roman"/>
          <w:b/>
          <w:sz w:val="24"/>
          <w:szCs w:val="24"/>
          <w:u w:val="single"/>
        </w:rPr>
        <w:lastRenderedPageBreak/>
        <w:t>Tekući projekt T400404 Ostale aktivnosti i projekti (vannastavni)</w:t>
      </w:r>
    </w:p>
    <w:p w14:paraId="60FCC173"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5B963084"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Tekući projekt T400404 Ostale aktivnosti i projekti (vannastavni) </w:t>
      </w:r>
      <w:r w:rsidRPr="004C5412">
        <w:rPr>
          <w:rFonts w:ascii="Times New Roman" w:eastAsiaTheme="minorEastAsia" w:hAnsi="Times New Roman" w:cs="Times New Roman"/>
          <w:sz w:val="24"/>
          <w:szCs w:val="24"/>
        </w:rPr>
        <w:t>koji se financira</w:t>
      </w:r>
      <w:r w:rsidRPr="004C5412">
        <w:rPr>
          <w:rFonts w:ascii="Times New Roman" w:eastAsiaTheme="minorEastAsia" w:hAnsi="Times New Roman" w:cs="Times New Roman"/>
          <w:b/>
          <w:sz w:val="24"/>
          <w:szCs w:val="24"/>
        </w:rPr>
        <w:t xml:space="preserve"> </w:t>
      </w:r>
      <w:r w:rsidRPr="004C5412">
        <w:rPr>
          <w:rFonts w:ascii="Times New Roman" w:eastAsiaTheme="minorEastAsia" w:hAnsi="Times New Roman" w:cs="Times New Roman"/>
          <w:sz w:val="24"/>
          <w:szCs w:val="24"/>
        </w:rPr>
        <w:t>iz Izvora 3.2. Vlastiti prihodi iznosi 1.318,47 eura, a izvršenje u 2024. godini iznosi 418,33 eura.</w:t>
      </w:r>
    </w:p>
    <w:p w14:paraId="2BD02CB1"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Vlastiti prihodi podrazumijevaju prihode od najma školskog prostora i opreme škole te prodaje hrane iz školske kuhinje zaposlenicima škole za podmirenje određenih rashoda predviđenim planom.</w:t>
      </w:r>
    </w:p>
    <w:p w14:paraId="6C4F5BFD" w14:textId="77777777" w:rsidR="004C5412" w:rsidRPr="004C5412" w:rsidRDefault="004C5412" w:rsidP="004C5412">
      <w:pPr>
        <w:jc w:val="both"/>
        <w:rPr>
          <w:rFonts w:ascii="Times New Roman" w:eastAsiaTheme="minorEastAsia" w:hAnsi="Times New Roman" w:cs="Times New Roman"/>
          <w:sz w:val="24"/>
          <w:szCs w:val="24"/>
          <w:lang w:eastAsia="hr-HR"/>
        </w:rPr>
      </w:pPr>
    </w:p>
    <w:p w14:paraId="3B88E302" w14:textId="77777777" w:rsidR="004C5412" w:rsidRPr="004C5412" w:rsidRDefault="004C5412" w:rsidP="004C5412">
      <w:pPr>
        <w:numPr>
          <w:ilvl w:val="0"/>
          <w:numId w:val="6"/>
        </w:numPr>
        <w:jc w:val="both"/>
        <w:rPr>
          <w:rFonts w:ascii="Times New Roman" w:eastAsiaTheme="minorEastAsia" w:hAnsi="Times New Roman" w:cs="Times New Roman"/>
          <w:sz w:val="24"/>
          <w:szCs w:val="24"/>
          <w:lang w:eastAsia="hr-HR"/>
        </w:rPr>
      </w:pPr>
      <w:r w:rsidRPr="004C5412">
        <w:rPr>
          <w:rFonts w:ascii="Times New Roman" w:eastAsiaTheme="minorEastAsia" w:hAnsi="Times New Roman" w:cs="Times New Roman"/>
          <w:b/>
          <w:sz w:val="24"/>
          <w:szCs w:val="24"/>
          <w:u w:val="single"/>
          <w:lang w:eastAsia="hr-HR"/>
        </w:rPr>
        <w:t>Tekući projekt T400405 Udžbenici</w:t>
      </w:r>
    </w:p>
    <w:p w14:paraId="0D79A55D"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Tekući projekt T400405 Udžbenici</w:t>
      </w:r>
      <w:r w:rsidRPr="004C5412">
        <w:rPr>
          <w:rFonts w:ascii="Times New Roman" w:eastAsiaTheme="minorEastAsia" w:hAnsi="Times New Roman" w:cs="Times New Roman"/>
          <w:sz w:val="24"/>
          <w:szCs w:val="24"/>
        </w:rPr>
        <w:t xml:space="preserve"> koji se financira  iz Izvora 5.7. Tekuće pomoći PK iznosi 6.500,00 eura, a izvršenje u 2024. godini iznosi 6.089,78 eura.</w:t>
      </w:r>
    </w:p>
    <w:p w14:paraId="0EC987E7"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Cilj i pokazatelj uspješnosti: Ministarstvo znanosti i obrazovanja osiguralo je sredstva za nabavu udžbenika za sve učenike škole. </w:t>
      </w:r>
    </w:p>
    <w:p w14:paraId="646F5559"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1E2A2C86" w14:textId="77777777" w:rsidR="004C5412" w:rsidRPr="004C5412" w:rsidRDefault="004C5412" w:rsidP="004C5412">
      <w:pPr>
        <w:numPr>
          <w:ilvl w:val="0"/>
          <w:numId w:val="6"/>
        </w:numPr>
        <w:spacing w:after="0" w:line="240" w:lineRule="auto"/>
        <w:jc w:val="both"/>
        <w:rPr>
          <w:rFonts w:ascii="Times New Roman" w:eastAsiaTheme="minorEastAsia" w:hAnsi="Times New Roman" w:cs="Times New Roman"/>
          <w:sz w:val="24"/>
          <w:szCs w:val="24"/>
          <w:u w:val="single"/>
        </w:rPr>
      </w:pPr>
      <w:r w:rsidRPr="004C5412">
        <w:rPr>
          <w:rFonts w:ascii="Times New Roman" w:eastAsiaTheme="minorEastAsia" w:hAnsi="Times New Roman" w:cs="Times New Roman"/>
          <w:b/>
          <w:sz w:val="24"/>
          <w:szCs w:val="24"/>
          <w:u w:val="single"/>
        </w:rPr>
        <w:t>Tekući projekt T400406 Korak prema jednakosti (MZOS-EU)</w:t>
      </w:r>
    </w:p>
    <w:p w14:paraId="52FAC774"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79C27E82"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 xml:space="preserve">Tekući projekt T400406 Korak prema jednakosti (MZOS-EU) </w:t>
      </w:r>
      <w:r w:rsidRPr="004C5412">
        <w:rPr>
          <w:rFonts w:ascii="Times New Roman" w:eastAsiaTheme="minorEastAsia" w:hAnsi="Times New Roman" w:cs="Times New Roman"/>
          <w:sz w:val="24"/>
          <w:szCs w:val="24"/>
        </w:rPr>
        <w:t>koji se financira iz Izvora 1.2. Ostali opći prihodi iznosi 2.597,89 eura, a izvršenje u 2024. godini iznosi 2.525,40 eura.</w:t>
      </w:r>
    </w:p>
    <w:p w14:paraId="357C4B78"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Cilj ovog Projekta „Korak prema jednakosti 5“ je osiguranje dijela plaće za ukupno pet (5)  asistenta u nastavi  u školskoj godini 2024./2025.</w:t>
      </w:r>
    </w:p>
    <w:p w14:paraId="7C681960"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Grad Gospić, kao Osnivač škole, osigurao je i realizirao 15% ukupnih rashoda za plaće i materijalna prava asistenata u nastavi kroz Projekt „Korak prema jednakosti 5“.</w:t>
      </w:r>
    </w:p>
    <w:p w14:paraId="40A26F76"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Pokazatelj uspješnosti: Pomoć pri radu i učenju učenicima koji pohađaju nastavu po prilagođenom programu.</w:t>
      </w:r>
    </w:p>
    <w:p w14:paraId="329AD7D0"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79560726"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Plan </w:t>
      </w:r>
      <w:r w:rsidRPr="004C5412">
        <w:rPr>
          <w:rFonts w:ascii="Times New Roman" w:eastAsiaTheme="minorEastAsia" w:hAnsi="Times New Roman" w:cs="Times New Roman"/>
          <w:b/>
          <w:sz w:val="24"/>
          <w:szCs w:val="24"/>
        </w:rPr>
        <w:t>Tekući projekt T400406 Korak prema jednakosti (MZOS-EU)</w:t>
      </w:r>
      <w:r w:rsidRPr="004C5412">
        <w:rPr>
          <w:rFonts w:ascii="Times New Roman" w:eastAsiaTheme="minorEastAsia" w:hAnsi="Times New Roman" w:cs="Times New Roman"/>
          <w:sz w:val="24"/>
          <w:szCs w:val="24"/>
        </w:rPr>
        <w:t xml:space="preserve"> koji se financira  iz Izvora 5.6. Prijenos sredstava EU iznosi 14.721,68 eura, a izvršenje u 2024. godini iznosi 14.349,92 eura. </w:t>
      </w:r>
    </w:p>
    <w:p w14:paraId="745D2CAB"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 xml:space="preserve">Cilj ovog Projekta „Korak prema jednakosti 5“ je osiguranje dijela plaće za ukupno pet (5) asistenata u nastavi u školskoj godini 2024./2025. </w:t>
      </w:r>
    </w:p>
    <w:p w14:paraId="3587A3AB"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r w:rsidRPr="004C5412">
        <w:rPr>
          <w:rFonts w:ascii="Times New Roman" w:eastAsiaTheme="minorEastAsia" w:hAnsi="Times New Roman" w:cs="Times New Roman"/>
          <w:sz w:val="24"/>
          <w:szCs w:val="24"/>
        </w:rPr>
        <w:t>Pokazatelj uspješnosti: Pomoć pri radi i učenju učenicima koji pohađaju nastavu po prilagođenom programu.</w:t>
      </w:r>
    </w:p>
    <w:p w14:paraId="2F9EA13A"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739BFA32"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41DA3EFC" w14:textId="77777777" w:rsidR="004C5412" w:rsidRPr="004C5412" w:rsidRDefault="004C5412" w:rsidP="004C5412">
      <w:pPr>
        <w:rPr>
          <w:rFonts w:ascii="Times New Roman" w:eastAsiaTheme="minorEastAsia" w:hAnsi="Times New Roman" w:cs="Times New Roman"/>
          <w:sz w:val="24"/>
          <w:szCs w:val="24"/>
          <w:lang w:eastAsia="hr-HR"/>
        </w:rPr>
      </w:pPr>
      <w:r w:rsidRPr="004C5412">
        <w:rPr>
          <w:rFonts w:ascii="Times New Roman" w:eastAsiaTheme="minorEastAsia" w:hAnsi="Times New Roman" w:cs="Times New Roman"/>
          <w:sz w:val="24"/>
          <w:szCs w:val="24"/>
          <w:lang w:eastAsia="hr-HR"/>
        </w:rPr>
        <w:t xml:space="preserve">U Ličkom </w:t>
      </w:r>
      <w:proofErr w:type="spellStart"/>
      <w:r w:rsidRPr="004C5412">
        <w:rPr>
          <w:rFonts w:ascii="Times New Roman" w:eastAsiaTheme="minorEastAsia" w:hAnsi="Times New Roman" w:cs="Times New Roman"/>
          <w:sz w:val="24"/>
          <w:szCs w:val="24"/>
          <w:lang w:eastAsia="hr-HR"/>
        </w:rPr>
        <w:t>Osiku</w:t>
      </w:r>
      <w:proofErr w:type="spellEnd"/>
      <w:r w:rsidRPr="004C5412">
        <w:rPr>
          <w:rFonts w:ascii="Times New Roman" w:eastAsiaTheme="minorEastAsia" w:hAnsi="Times New Roman" w:cs="Times New Roman"/>
          <w:sz w:val="24"/>
          <w:szCs w:val="24"/>
          <w:lang w:eastAsia="hr-HR"/>
        </w:rPr>
        <w:t xml:space="preserve"> 31.3.2025. godine</w:t>
      </w:r>
    </w:p>
    <w:p w14:paraId="6CAF15E5" w14:textId="77777777" w:rsidR="004C5412" w:rsidRPr="004C5412" w:rsidRDefault="004C5412" w:rsidP="004C5412">
      <w:pPr>
        <w:rPr>
          <w:rFonts w:ascii="Times New Roman" w:eastAsiaTheme="minorEastAsia" w:hAnsi="Times New Roman" w:cs="Times New Roman"/>
          <w:sz w:val="24"/>
          <w:szCs w:val="24"/>
          <w:lang w:eastAsia="hr-HR"/>
        </w:rPr>
      </w:pPr>
    </w:p>
    <w:p w14:paraId="13E7F5EB" w14:textId="77777777" w:rsidR="004C5412" w:rsidRPr="004C5412" w:rsidRDefault="004C5412" w:rsidP="004C5412">
      <w:pPr>
        <w:rPr>
          <w:rFonts w:ascii="Times New Roman" w:eastAsiaTheme="minorEastAsia" w:hAnsi="Times New Roman" w:cs="Times New Roman"/>
          <w:sz w:val="24"/>
          <w:szCs w:val="24"/>
          <w:lang w:eastAsia="hr-HR"/>
        </w:rPr>
      </w:pPr>
      <w:r w:rsidRPr="004C5412">
        <w:rPr>
          <w:rFonts w:ascii="Times New Roman" w:eastAsiaTheme="minorEastAsia" w:hAnsi="Times New Roman" w:cs="Times New Roman"/>
          <w:sz w:val="24"/>
          <w:szCs w:val="24"/>
          <w:lang w:eastAsia="hr-HR"/>
        </w:rPr>
        <w:t>Izvještaj izradila:</w:t>
      </w:r>
    </w:p>
    <w:p w14:paraId="44D1F86F" w14:textId="77777777" w:rsidR="004C5412" w:rsidRPr="004C5412" w:rsidRDefault="004C5412" w:rsidP="004C5412">
      <w:pPr>
        <w:rPr>
          <w:rFonts w:ascii="Times New Roman" w:eastAsiaTheme="minorEastAsia" w:hAnsi="Times New Roman" w:cs="Times New Roman"/>
          <w:sz w:val="24"/>
          <w:szCs w:val="24"/>
          <w:lang w:eastAsia="hr-HR"/>
        </w:rPr>
      </w:pPr>
      <w:r w:rsidRPr="004C5412">
        <w:rPr>
          <w:rFonts w:ascii="Times New Roman" w:eastAsiaTheme="minorEastAsia" w:hAnsi="Times New Roman" w:cs="Times New Roman"/>
          <w:sz w:val="24"/>
          <w:szCs w:val="24"/>
          <w:lang w:eastAsia="hr-HR"/>
        </w:rPr>
        <w:t xml:space="preserve">Marijana Orešković, </w:t>
      </w:r>
      <w:proofErr w:type="spellStart"/>
      <w:r w:rsidRPr="004C5412">
        <w:rPr>
          <w:rFonts w:ascii="Times New Roman" w:eastAsiaTheme="minorEastAsia" w:hAnsi="Times New Roman" w:cs="Times New Roman"/>
          <w:sz w:val="24"/>
          <w:szCs w:val="24"/>
          <w:lang w:eastAsia="hr-HR"/>
        </w:rPr>
        <w:t>mag</w:t>
      </w:r>
      <w:proofErr w:type="spellEnd"/>
      <w:r w:rsidRPr="004C5412">
        <w:rPr>
          <w:rFonts w:ascii="Times New Roman" w:eastAsiaTheme="minorEastAsia" w:hAnsi="Times New Roman" w:cs="Times New Roman"/>
          <w:sz w:val="24"/>
          <w:szCs w:val="24"/>
          <w:lang w:eastAsia="hr-HR"/>
        </w:rPr>
        <w:t xml:space="preserve">. </w:t>
      </w:r>
      <w:proofErr w:type="spellStart"/>
      <w:r w:rsidRPr="004C5412">
        <w:rPr>
          <w:rFonts w:ascii="Times New Roman" w:eastAsiaTheme="minorEastAsia" w:hAnsi="Times New Roman" w:cs="Times New Roman"/>
          <w:sz w:val="24"/>
          <w:szCs w:val="24"/>
          <w:lang w:eastAsia="hr-HR"/>
        </w:rPr>
        <w:t>oec</w:t>
      </w:r>
      <w:proofErr w:type="spellEnd"/>
      <w:r w:rsidRPr="004C5412">
        <w:rPr>
          <w:rFonts w:ascii="Times New Roman" w:eastAsiaTheme="minorEastAsia" w:hAnsi="Times New Roman" w:cs="Times New Roman"/>
          <w:sz w:val="24"/>
          <w:szCs w:val="24"/>
          <w:lang w:eastAsia="hr-HR"/>
        </w:rPr>
        <w:t>.</w:t>
      </w:r>
    </w:p>
    <w:p w14:paraId="46349FC7" w14:textId="77777777" w:rsidR="004C5412" w:rsidRPr="004C5412" w:rsidRDefault="004C5412" w:rsidP="004C5412">
      <w:pPr>
        <w:rPr>
          <w:rFonts w:ascii="Times New Roman" w:eastAsiaTheme="minorEastAsia" w:hAnsi="Times New Roman" w:cs="Times New Roman"/>
          <w:sz w:val="24"/>
          <w:szCs w:val="24"/>
          <w:lang w:eastAsia="hr-HR"/>
        </w:rPr>
      </w:pPr>
      <w:r w:rsidRPr="004C5412">
        <w:rPr>
          <w:rFonts w:ascii="Times New Roman" w:eastAsiaTheme="minorEastAsia" w:hAnsi="Times New Roman" w:cs="Times New Roman"/>
          <w:sz w:val="24"/>
          <w:szCs w:val="24"/>
          <w:lang w:eastAsia="hr-HR"/>
        </w:rPr>
        <w:t>Voditelj računovodstva</w:t>
      </w:r>
    </w:p>
    <w:p w14:paraId="6BE26CE2" w14:textId="77777777" w:rsidR="004C5412" w:rsidRPr="004C5412" w:rsidRDefault="004C5412" w:rsidP="004C5412">
      <w:pPr>
        <w:spacing w:after="0" w:line="240" w:lineRule="auto"/>
        <w:jc w:val="both"/>
        <w:rPr>
          <w:rFonts w:ascii="Times New Roman" w:eastAsiaTheme="minorEastAsia" w:hAnsi="Times New Roman" w:cs="Times New Roman"/>
          <w:sz w:val="24"/>
          <w:szCs w:val="24"/>
        </w:rPr>
      </w:pPr>
    </w:p>
    <w:p w14:paraId="687800E7" w14:textId="77777777" w:rsidR="004C5412" w:rsidRPr="004C5412" w:rsidRDefault="004C5412" w:rsidP="004C5412">
      <w:pPr>
        <w:jc w:val="both"/>
        <w:rPr>
          <w:rFonts w:ascii="Times New Roman" w:eastAsiaTheme="minorEastAsia" w:hAnsi="Times New Roman" w:cs="Times New Roman"/>
          <w:sz w:val="24"/>
          <w:szCs w:val="24"/>
          <w:lang w:eastAsia="hr-HR"/>
        </w:rPr>
      </w:pPr>
    </w:p>
    <w:p w14:paraId="5EC77FD9" w14:textId="77777777" w:rsidR="004C5412" w:rsidRPr="004C5412" w:rsidRDefault="004C5412" w:rsidP="004C5412">
      <w:pPr>
        <w:jc w:val="both"/>
        <w:rPr>
          <w:rFonts w:ascii="Times New Roman" w:eastAsiaTheme="minorEastAsia" w:hAnsi="Times New Roman" w:cs="Times New Roman"/>
          <w:sz w:val="24"/>
          <w:szCs w:val="24"/>
          <w:lang w:eastAsia="hr-HR"/>
        </w:rPr>
      </w:pPr>
    </w:p>
    <w:p w14:paraId="2680912F" w14:textId="77777777" w:rsidR="004C5412" w:rsidRPr="004C5412" w:rsidRDefault="004C5412" w:rsidP="004C5412">
      <w:pPr>
        <w:jc w:val="both"/>
        <w:rPr>
          <w:rFonts w:ascii="Times New Roman" w:eastAsiaTheme="minorEastAsia" w:hAnsi="Times New Roman" w:cs="Times New Roman"/>
          <w:sz w:val="24"/>
          <w:szCs w:val="24"/>
          <w:lang w:eastAsia="hr-HR"/>
        </w:rPr>
      </w:pPr>
    </w:p>
    <w:p w14:paraId="629E9DBC" w14:textId="77777777" w:rsidR="00DC570A" w:rsidRDefault="00DC570A"/>
    <w:sectPr w:rsidR="00DC570A">
      <w:footerReference w:type="default" r:id="rId11"/>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B47F7" w14:textId="77777777" w:rsidR="003E503E" w:rsidRDefault="003E503E">
      <w:pPr>
        <w:spacing w:after="0" w:line="240" w:lineRule="auto"/>
      </w:pPr>
      <w:r>
        <w:separator/>
      </w:r>
    </w:p>
  </w:endnote>
  <w:endnote w:type="continuationSeparator" w:id="0">
    <w:p w14:paraId="6B753C26" w14:textId="77777777" w:rsidR="003E503E" w:rsidRDefault="003E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E7A63" w14:textId="77777777" w:rsidR="00AB6ECA" w:rsidRDefault="004C5412">
    <w:pPr>
      <w:pStyle w:val="Podnoje"/>
      <w:jc w:val="center"/>
    </w:pPr>
    <w:r>
      <w:fldChar w:fldCharType="begin"/>
    </w:r>
    <w:r>
      <w:instrText>PAGE   \* MERGEFORMAT</w:instrText>
    </w:r>
    <w:r>
      <w:fldChar w:fldCharType="separate"/>
    </w:r>
    <w:r>
      <w:t>2</w:t>
    </w:r>
    <w:r>
      <w:fldChar w:fldCharType="end"/>
    </w:r>
  </w:p>
  <w:p w14:paraId="36B9F84A" w14:textId="77777777" w:rsidR="009151C3" w:rsidRDefault="003E50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DA59D" w14:textId="77777777" w:rsidR="003E503E" w:rsidRDefault="003E503E">
      <w:pPr>
        <w:spacing w:after="0" w:line="240" w:lineRule="auto"/>
      </w:pPr>
      <w:r>
        <w:separator/>
      </w:r>
    </w:p>
  </w:footnote>
  <w:footnote w:type="continuationSeparator" w:id="0">
    <w:p w14:paraId="08FEACC3" w14:textId="77777777" w:rsidR="003E503E" w:rsidRDefault="003E5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588E"/>
    <w:multiLevelType w:val="hybridMultilevel"/>
    <w:tmpl w:val="FE800176"/>
    <w:lvl w:ilvl="0" w:tplc="7F4E547E">
      <w:start w:val="1"/>
      <w:numFmt w:val="upperRoman"/>
      <w:lvlText w:val="%1."/>
      <w:lvlJc w:val="left"/>
      <w:pPr>
        <w:ind w:left="780" w:hanging="720"/>
      </w:pPr>
      <w:rPr>
        <w:rFonts w:cs="Times New Roman" w:hint="default"/>
      </w:rPr>
    </w:lvl>
    <w:lvl w:ilvl="1" w:tplc="041A0019" w:tentative="1">
      <w:start w:val="1"/>
      <w:numFmt w:val="lowerLetter"/>
      <w:lvlText w:val="%2."/>
      <w:lvlJc w:val="left"/>
      <w:pPr>
        <w:ind w:left="1140" w:hanging="360"/>
      </w:pPr>
      <w:rPr>
        <w:rFonts w:cs="Times New Roman"/>
      </w:rPr>
    </w:lvl>
    <w:lvl w:ilvl="2" w:tplc="041A001B" w:tentative="1">
      <w:start w:val="1"/>
      <w:numFmt w:val="lowerRoman"/>
      <w:lvlText w:val="%3."/>
      <w:lvlJc w:val="right"/>
      <w:pPr>
        <w:ind w:left="1860" w:hanging="180"/>
      </w:pPr>
      <w:rPr>
        <w:rFonts w:cs="Times New Roman"/>
      </w:rPr>
    </w:lvl>
    <w:lvl w:ilvl="3" w:tplc="041A000F" w:tentative="1">
      <w:start w:val="1"/>
      <w:numFmt w:val="decimal"/>
      <w:lvlText w:val="%4."/>
      <w:lvlJc w:val="left"/>
      <w:pPr>
        <w:ind w:left="2580" w:hanging="360"/>
      </w:pPr>
      <w:rPr>
        <w:rFonts w:cs="Times New Roman"/>
      </w:rPr>
    </w:lvl>
    <w:lvl w:ilvl="4" w:tplc="041A0019" w:tentative="1">
      <w:start w:val="1"/>
      <w:numFmt w:val="lowerLetter"/>
      <w:lvlText w:val="%5."/>
      <w:lvlJc w:val="left"/>
      <w:pPr>
        <w:ind w:left="3300" w:hanging="360"/>
      </w:pPr>
      <w:rPr>
        <w:rFonts w:cs="Times New Roman"/>
      </w:rPr>
    </w:lvl>
    <w:lvl w:ilvl="5" w:tplc="041A001B" w:tentative="1">
      <w:start w:val="1"/>
      <w:numFmt w:val="lowerRoman"/>
      <w:lvlText w:val="%6."/>
      <w:lvlJc w:val="right"/>
      <w:pPr>
        <w:ind w:left="4020" w:hanging="180"/>
      </w:pPr>
      <w:rPr>
        <w:rFonts w:cs="Times New Roman"/>
      </w:rPr>
    </w:lvl>
    <w:lvl w:ilvl="6" w:tplc="041A000F" w:tentative="1">
      <w:start w:val="1"/>
      <w:numFmt w:val="decimal"/>
      <w:lvlText w:val="%7."/>
      <w:lvlJc w:val="left"/>
      <w:pPr>
        <w:ind w:left="4740" w:hanging="360"/>
      </w:pPr>
      <w:rPr>
        <w:rFonts w:cs="Times New Roman"/>
      </w:rPr>
    </w:lvl>
    <w:lvl w:ilvl="7" w:tplc="041A0019" w:tentative="1">
      <w:start w:val="1"/>
      <w:numFmt w:val="lowerLetter"/>
      <w:lvlText w:val="%8."/>
      <w:lvlJc w:val="left"/>
      <w:pPr>
        <w:ind w:left="5460" w:hanging="360"/>
      </w:pPr>
      <w:rPr>
        <w:rFonts w:cs="Times New Roman"/>
      </w:rPr>
    </w:lvl>
    <w:lvl w:ilvl="8" w:tplc="041A001B" w:tentative="1">
      <w:start w:val="1"/>
      <w:numFmt w:val="lowerRoman"/>
      <w:lvlText w:val="%9."/>
      <w:lvlJc w:val="right"/>
      <w:pPr>
        <w:ind w:left="6180" w:hanging="180"/>
      </w:pPr>
      <w:rPr>
        <w:rFonts w:cs="Times New Roman"/>
      </w:rPr>
    </w:lvl>
  </w:abstractNum>
  <w:abstractNum w:abstractNumId="1" w15:restartNumberingAfterBreak="0">
    <w:nsid w:val="2BA2112C"/>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CED41C1"/>
    <w:multiLevelType w:val="hybridMultilevel"/>
    <w:tmpl w:val="4E58F87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2DE72A7D"/>
    <w:multiLevelType w:val="hybridMultilevel"/>
    <w:tmpl w:val="6B72625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263250"/>
    <w:multiLevelType w:val="hybridMultilevel"/>
    <w:tmpl w:val="1B96BEF2"/>
    <w:lvl w:ilvl="0" w:tplc="200A85E4">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B8E2433"/>
    <w:multiLevelType w:val="hybridMultilevel"/>
    <w:tmpl w:val="6E8C69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EC71804"/>
    <w:multiLevelType w:val="hybridMultilevel"/>
    <w:tmpl w:val="6192745A"/>
    <w:lvl w:ilvl="0" w:tplc="B7D85BF0">
      <w:numFmt w:val="bullet"/>
      <w:lvlText w:val="-"/>
      <w:lvlJc w:val="left"/>
      <w:pPr>
        <w:ind w:left="1080" w:hanging="360"/>
      </w:pPr>
      <w:rPr>
        <w:rFonts w:ascii="Times New Roman" w:eastAsia="Times New Roman" w:hAnsi="Times New Roman"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B6"/>
    <w:rsid w:val="00153DB6"/>
    <w:rsid w:val="00281855"/>
    <w:rsid w:val="003E503E"/>
    <w:rsid w:val="004C5412"/>
    <w:rsid w:val="00C00336"/>
    <w:rsid w:val="00DC570A"/>
    <w:rsid w:val="00E806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5899"/>
  <w15:chartTrackingRefBased/>
  <w15:docId w15:val="{9496D554-EF64-460F-A0DA-12C4D8D6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4C5412"/>
    <w:pPr>
      <w:tabs>
        <w:tab w:val="center" w:pos="4536"/>
        <w:tab w:val="right" w:pos="9072"/>
      </w:tabs>
    </w:pPr>
    <w:rPr>
      <w:rFonts w:eastAsiaTheme="minorEastAsia" w:cs="Times New Roman"/>
      <w:lang w:eastAsia="hr-HR"/>
    </w:rPr>
  </w:style>
  <w:style w:type="character" w:customStyle="1" w:styleId="PodnojeChar">
    <w:name w:val="Podnožje Char"/>
    <w:basedOn w:val="Zadanifontodlomka"/>
    <w:link w:val="Podnoje"/>
    <w:uiPriority w:val="99"/>
    <w:rsid w:val="004C5412"/>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rijana\Desktop\DOKUMENTI%201\Izvje&#353;taj%20o%20izvr&#353;enju%20financijskog%20plana\2024.%20god\Novo%20Radni%20list%20programa%20Microsoft%20Excel.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arijana\Desktop\DOKUMENTI%201\Izvje&#353;taj%20o%20izvr&#353;enju%20financijskog%20plana\2024.%20god\Novo%20Radni%20list%20programa%20Microsoft%20Excel.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arijana\Desktop\DOKUMENTI%201\Izvje&#353;taj%20o%20izvr&#353;enju%20financijskog%20plana\2024.%20god\Novo%20Radni%20list%20programa%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Sažetak</a:t>
            </a:r>
            <a:r>
              <a:rPr lang="hr-HR" baseline="0"/>
              <a:t> računa prihoda i rashoda </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List1!$A$2:$E$2</c:f>
              <c:strCache>
                <c:ptCount val="5"/>
                <c:pt idx="0">
                  <c:v>PRIHODI UKUPNO</c:v>
                </c:pt>
              </c:strCache>
            </c:strRef>
          </c:tx>
          <c:spPr>
            <a:solidFill>
              <a:schemeClr val="accent2"/>
            </a:solidFill>
            <a:ln>
              <a:noFill/>
            </a:ln>
            <a:effectLst/>
          </c:spPr>
          <c:invertIfNegative val="0"/>
          <c:cat>
            <c:strRef>
              <c:f>List1!$F$1:$H$1</c:f>
              <c:strCache>
                <c:ptCount val="3"/>
                <c:pt idx="0">
                  <c:v>OSTVARENJE/IZVRŠENJE 
2023. </c:v>
                </c:pt>
                <c:pt idx="1">
                  <c:v>IZVORNI PLAN ILI REBALANS 2024.</c:v>
                </c:pt>
                <c:pt idx="2">
                  <c:v>OSTVARENJE/IZVRŠENJE 
2024.</c:v>
                </c:pt>
              </c:strCache>
            </c:strRef>
          </c:cat>
          <c:val>
            <c:numRef>
              <c:f>List1!$F$2:$H$2</c:f>
              <c:numCache>
                <c:formatCode>#,##0.00</c:formatCode>
                <c:ptCount val="3"/>
                <c:pt idx="0">
                  <c:v>1012686.73</c:v>
                </c:pt>
                <c:pt idx="1">
                  <c:v>1201252</c:v>
                </c:pt>
                <c:pt idx="2">
                  <c:v>1219934.3400000001</c:v>
                </c:pt>
              </c:numCache>
            </c:numRef>
          </c:val>
          <c:extLst>
            <c:ext xmlns:c16="http://schemas.microsoft.com/office/drawing/2014/chart" uri="{C3380CC4-5D6E-409C-BE32-E72D297353CC}">
              <c16:uniqueId val="{00000000-DFDF-42B5-A89E-A0FD5AC960AF}"/>
            </c:ext>
          </c:extLst>
        </c:ser>
        <c:ser>
          <c:idx val="1"/>
          <c:order val="1"/>
          <c:tx>
            <c:strRef>
              <c:f>List1!$A$3:$E$3</c:f>
              <c:strCache>
                <c:ptCount val="5"/>
                <c:pt idx="0">
                  <c:v>RASHODI UKUPNO</c:v>
                </c:pt>
              </c:strCache>
            </c:strRef>
          </c:tx>
          <c:spPr>
            <a:solidFill>
              <a:schemeClr val="accent4"/>
            </a:solidFill>
            <a:ln>
              <a:noFill/>
            </a:ln>
            <a:effectLst/>
          </c:spPr>
          <c:invertIfNegative val="0"/>
          <c:cat>
            <c:strRef>
              <c:f>List1!$F$1:$H$1</c:f>
              <c:strCache>
                <c:ptCount val="3"/>
                <c:pt idx="0">
                  <c:v>OSTVARENJE/IZVRŠENJE 
2023. </c:v>
                </c:pt>
                <c:pt idx="1">
                  <c:v>IZVORNI PLAN ILI REBALANS 2024.</c:v>
                </c:pt>
                <c:pt idx="2">
                  <c:v>OSTVARENJE/IZVRŠENJE 
2024.</c:v>
                </c:pt>
              </c:strCache>
            </c:strRef>
          </c:cat>
          <c:val>
            <c:numRef>
              <c:f>List1!$F$3:$H$3</c:f>
              <c:numCache>
                <c:formatCode>#,##0.00</c:formatCode>
                <c:ptCount val="3"/>
                <c:pt idx="0">
                  <c:v>1014630.81</c:v>
                </c:pt>
                <c:pt idx="1">
                  <c:v>1201252</c:v>
                </c:pt>
                <c:pt idx="2">
                  <c:v>1207212.22</c:v>
                </c:pt>
              </c:numCache>
            </c:numRef>
          </c:val>
          <c:extLst>
            <c:ext xmlns:c16="http://schemas.microsoft.com/office/drawing/2014/chart" uri="{C3380CC4-5D6E-409C-BE32-E72D297353CC}">
              <c16:uniqueId val="{00000001-DFDF-42B5-A89E-A0FD5AC960AF}"/>
            </c:ext>
          </c:extLst>
        </c:ser>
        <c:ser>
          <c:idx val="2"/>
          <c:order val="2"/>
          <c:tx>
            <c:strRef>
              <c:f>List1!$A$4:$E$4</c:f>
              <c:strCache>
                <c:ptCount val="5"/>
                <c:pt idx="0">
                  <c:v>RAZLIKA - VIŠAK MANJAK</c:v>
                </c:pt>
              </c:strCache>
            </c:strRef>
          </c:tx>
          <c:spPr>
            <a:solidFill>
              <a:schemeClr val="accent6"/>
            </a:solidFill>
            <a:ln>
              <a:noFill/>
            </a:ln>
            <a:effectLst/>
          </c:spPr>
          <c:invertIfNegative val="0"/>
          <c:cat>
            <c:strRef>
              <c:f>List1!$F$1:$H$1</c:f>
              <c:strCache>
                <c:ptCount val="3"/>
                <c:pt idx="0">
                  <c:v>OSTVARENJE/IZVRŠENJE 
2023. </c:v>
                </c:pt>
                <c:pt idx="1">
                  <c:v>IZVORNI PLAN ILI REBALANS 2024.</c:v>
                </c:pt>
                <c:pt idx="2">
                  <c:v>OSTVARENJE/IZVRŠENJE 
2024.</c:v>
                </c:pt>
              </c:strCache>
            </c:strRef>
          </c:cat>
          <c:val>
            <c:numRef>
              <c:f>List1!$F$4:$H$4</c:f>
              <c:numCache>
                <c:formatCode>General</c:formatCode>
                <c:ptCount val="3"/>
                <c:pt idx="0" formatCode="#,##0.00">
                  <c:v>-1944.08</c:v>
                </c:pt>
                <c:pt idx="2" formatCode="#,##0.00">
                  <c:v>12722.120000000112</c:v>
                </c:pt>
              </c:numCache>
            </c:numRef>
          </c:val>
          <c:extLst>
            <c:ext xmlns:c16="http://schemas.microsoft.com/office/drawing/2014/chart" uri="{C3380CC4-5D6E-409C-BE32-E72D297353CC}">
              <c16:uniqueId val="{00000002-DFDF-42B5-A89E-A0FD5AC960AF}"/>
            </c:ext>
          </c:extLst>
        </c:ser>
        <c:dLbls>
          <c:showLegendKey val="0"/>
          <c:showVal val="0"/>
          <c:showCatName val="0"/>
          <c:showSerName val="0"/>
          <c:showPercent val="0"/>
          <c:showBubbleSize val="0"/>
        </c:dLbls>
        <c:gapWidth val="219"/>
        <c:overlap val="-27"/>
        <c:axId val="437098216"/>
        <c:axId val="437097232"/>
      </c:barChart>
      <c:catAx>
        <c:axId val="437098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7097232"/>
        <c:crosses val="autoZero"/>
        <c:auto val="1"/>
        <c:lblAlgn val="ctr"/>
        <c:lblOffset val="100"/>
        <c:noMultiLvlLbl val="0"/>
      </c:catAx>
      <c:valAx>
        <c:axId val="437097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7098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Prihodi</a:t>
            </a:r>
            <a:r>
              <a:rPr lang="hr-HR" baseline="0"/>
              <a:t> i rashodi prema ekonomskoj klasifikaciji</a:t>
            </a:r>
            <a:endParaRPr lang="hr-HR"/>
          </a:p>
        </c:rich>
      </c:tx>
      <c:overlay val="0"/>
      <c:spPr>
        <a:noFill/>
        <a:ln w="25399">
          <a:noFill/>
        </a:ln>
      </c:spPr>
    </c:title>
    <c:autoTitleDeleted val="0"/>
    <c:plotArea>
      <c:layout/>
      <c:barChart>
        <c:barDir val="col"/>
        <c:grouping val="clustered"/>
        <c:varyColors val="0"/>
        <c:ser>
          <c:idx val="0"/>
          <c:order val="0"/>
          <c:tx>
            <c:strRef>
              <c:f>List2!$A$2</c:f>
              <c:strCache>
                <c:ptCount val="1"/>
                <c:pt idx="0">
                  <c:v>UKUPNI PRIHODI</c:v>
                </c:pt>
              </c:strCache>
            </c:strRef>
          </c:tx>
          <c:spPr>
            <a:solidFill>
              <a:srgbClr val="ED7D31"/>
            </a:solidFill>
            <a:ln w="25399">
              <a:noFill/>
            </a:ln>
          </c:spPr>
          <c:invertIfNegative val="0"/>
          <c:cat>
            <c:strRef>
              <c:f>List2!$B$1:$D$1</c:f>
              <c:strCache>
                <c:ptCount val="3"/>
                <c:pt idx="0">
                  <c:v>OSTVARENJE/IZVRŠENJE 
2023. </c:v>
                </c:pt>
                <c:pt idx="1">
                  <c:v>IZVORNI PLAN ILI REBALANS 2024.</c:v>
                </c:pt>
                <c:pt idx="2">
                  <c:v>OSTVARENJE/IZVRŠENJE 
2024.</c:v>
                </c:pt>
              </c:strCache>
            </c:strRef>
          </c:cat>
          <c:val>
            <c:numRef>
              <c:f>List2!$B$2:$D$2</c:f>
              <c:numCache>
                <c:formatCode>#.##000</c:formatCode>
                <c:ptCount val="3"/>
                <c:pt idx="0">
                  <c:v>1012686.73</c:v>
                </c:pt>
                <c:pt idx="1">
                  <c:v>1201252</c:v>
                </c:pt>
                <c:pt idx="2">
                  <c:v>1219934.3400000001</c:v>
                </c:pt>
              </c:numCache>
            </c:numRef>
          </c:val>
          <c:extLst>
            <c:ext xmlns:c16="http://schemas.microsoft.com/office/drawing/2014/chart" uri="{C3380CC4-5D6E-409C-BE32-E72D297353CC}">
              <c16:uniqueId val="{00000000-BC8A-41DD-A2AA-1B82573B75A4}"/>
            </c:ext>
          </c:extLst>
        </c:ser>
        <c:ser>
          <c:idx val="1"/>
          <c:order val="1"/>
          <c:tx>
            <c:strRef>
              <c:f>List2!$A$3</c:f>
              <c:strCache>
                <c:ptCount val="1"/>
                <c:pt idx="0">
                  <c:v>UKUPNI RASHODI</c:v>
                </c:pt>
              </c:strCache>
            </c:strRef>
          </c:tx>
          <c:spPr>
            <a:solidFill>
              <a:srgbClr val="FFC000"/>
            </a:solidFill>
            <a:ln w="25399">
              <a:noFill/>
            </a:ln>
          </c:spPr>
          <c:invertIfNegative val="0"/>
          <c:cat>
            <c:strRef>
              <c:f>List2!$B$1:$D$1</c:f>
              <c:strCache>
                <c:ptCount val="3"/>
                <c:pt idx="0">
                  <c:v>OSTVARENJE/IZVRŠENJE 
2023. </c:v>
                </c:pt>
                <c:pt idx="1">
                  <c:v>IZVORNI PLAN ILI REBALANS 2024.</c:v>
                </c:pt>
                <c:pt idx="2">
                  <c:v>OSTVARENJE/IZVRŠENJE 
2024.</c:v>
                </c:pt>
              </c:strCache>
            </c:strRef>
          </c:cat>
          <c:val>
            <c:numRef>
              <c:f>List2!$B$3:$D$3</c:f>
              <c:numCache>
                <c:formatCode>#.##000</c:formatCode>
                <c:ptCount val="3"/>
                <c:pt idx="0">
                  <c:v>1014630.81</c:v>
                </c:pt>
                <c:pt idx="1">
                  <c:v>1201252</c:v>
                </c:pt>
                <c:pt idx="2">
                  <c:v>1207212.22</c:v>
                </c:pt>
              </c:numCache>
            </c:numRef>
          </c:val>
          <c:extLst>
            <c:ext xmlns:c16="http://schemas.microsoft.com/office/drawing/2014/chart" uri="{C3380CC4-5D6E-409C-BE32-E72D297353CC}">
              <c16:uniqueId val="{00000001-BC8A-41DD-A2AA-1B82573B75A4}"/>
            </c:ext>
          </c:extLst>
        </c:ser>
        <c:dLbls>
          <c:showLegendKey val="0"/>
          <c:showVal val="0"/>
          <c:showCatName val="0"/>
          <c:showSerName val="0"/>
          <c:showPercent val="0"/>
          <c:showBubbleSize val="0"/>
        </c:dLbls>
        <c:gapWidth val="219"/>
        <c:overlap val="-27"/>
        <c:axId val="179494560"/>
        <c:axId val="1"/>
      </c:barChart>
      <c:catAx>
        <c:axId val="17949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9494560"/>
        <c:crosses val="autoZero"/>
        <c:crossBetween val="between"/>
      </c:valAx>
      <c:spPr>
        <a:noFill/>
        <a:ln w="25399">
          <a:noFill/>
        </a:ln>
      </c:spPr>
    </c:plotArea>
    <c:legend>
      <c:legendPos val="b"/>
      <c:overlay val="0"/>
      <c:spPr>
        <a:noFill/>
        <a:ln w="2539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Prihodi prema izvorima financiranja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List3!$A$2</c:f>
              <c:strCache>
                <c:ptCount val="1"/>
                <c:pt idx="0">
                  <c:v>1 Opći prihodi i primici</c:v>
                </c:pt>
              </c:strCache>
            </c:strRef>
          </c:tx>
          <c:spPr>
            <a:solidFill>
              <a:schemeClr val="accent1"/>
            </a:solidFill>
            <a:ln>
              <a:noFill/>
            </a:ln>
            <a:effectLst/>
          </c:spPr>
          <c:invertIfNegative val="0"/>
          <c:cat>
            <c:strRef>
              <c:f>List3!$B$1:$D$1</c:f>
              <c:strCache>
                <c:ptCount val="3"/>
                <c:pt idx="0">
                  <c:v>OSTVARENJE/IZVRŠENJE 
2023. </c:v>
                </c:pt>
                <c:pt idx="1">
                  <c:v>IZVORNI PLAN ILI REBALANS 2024. </c:v>
                </c:pt>
                <c:pt idx="2">
                  <c:v>OSTVARENJE/IZVRŠENJE 
2024.</c:v>
                </c:pt>
              </c:strCache>
            </c:strRef>
          </c:cat>
          <c:val>
            <c:numRef>
              <c:f>List3!$B$2:$D$2</c:f>
              <c:numCache>
                <c:formatCode>#,##0.00</c:formatCode>
                <c:ptCount val="3"/>
                <c:pt idx="0">
                  <c:v>76628.02</c:v>
                </c:pt>
                <c:pt idx="1">
                  <c:v>104657</c:v>
                </c:pt>
                <c:pt idx="2">
                  <c:v>115884.82</c:v>
                </c:pt>
              </c:numCache>
            </c:numRef>
          </c:val>
          <c:extLst>
            <c:ext xmlns:c16="http://schemas.microsoft.com/office/drawing/2014/chart" uri="{C3380CC4-5D6E-409C-BE32-E72D297353CC}">
              <c16:uniqueId val="{00000000-7AFB-46FF-A87D-26EC3D3DDE45}"/>
            </c:ext>
          </c:extLst>
        </c:ser>
        <c:ser>
          <c:idx val="1"/>
          <c:order val="1"/>
          <c:tx>
            <c:strRef>
              <c:f>List3!$A$3</c:f>
              <c:strCache>
                <c:ptCount val="1"/>
                <c:pt idx="0">
                  <c:v>3 Vlastiti izvori</c:v>
                </c:pt>
              </c:strCache>
            </c:strRef>
          </c:tx>
          <c:spPr>
            <a:solidFill>
              <a:schemeClr val="accent2"/>
            </a:solidFill>
            <a:ln>
              <a:noFill/>
            </a:ln>
            <a:effectLst/>
          </c:spPr>
          <c:invertIfNegative val="0"/>
          <c:cat>
            <c:strRef>
              <c:f>List3!$B$1:$D$1</c:f>
              <c:strCache>
                <c:ptCount val="3"/>
                <c:pt idx="0">
                  <c:v>OSTVARENJE/IZVRŠENJE 
2023. </c:v>
                </c:pt>
                <c:pt idx="1">
                  <c:v>IZVORNI PLAN ILI REBALANS 2024. </c:v>
                </c:pt>
                <c:pt idx="2">
                  <c:v>OSTVARENJE/IZVRŠENJE 
2024.</c:v>
                </c:pt>
              </c:strCache>
            </c:strRef>
          </c:cat>
          <c:val>
            <c:numRef>
              <c:f>List3!$B$3:$D$3</c:f>
              <c:numCache>
                <c:formatCode>#,##0.00</c:formatCode>
                <c:ptCount val="3"/>
                <c:pt idx="0">
                  <c:v>1137.98</c:v>
                </c:pt>
                <c:pt idx="1">
                  <c:v>1361</c:v>
                </c:pt>
                <c:pt idx="2">
                  <c:v>1680.4</c:v>
                </c:pt>
              </c:numCache>
            </c:numRef>
          </c:val>
          <c:extLst>
            <c:ext xmlns:c16="http://schemas.microsoft.com/office/drawing/2014/chart" uri="{C3380CC4-5D6E-409C-BE32-E72D297353CC}">
              <c16:uniqueId val="{00000001-7AFB-46FF-A87D-26EC3D3DDE45}"/>
            </c:ext>
          </c:extLst>
        </c:ser>
        <c:ser>
          <c:idx val="2"/>
          <c:order val="2"/>
          <c:tx>
            <c:strRef>
              <c:f>List3!$A$4</c:f>
              <c:strCache>
                <c:ptCount val="1"/>
                <c:pt idx="0">
                  <c:v>4 Prihodi za posebne namjene</c:v>
                </c:pt>
              </c:strCache>
            </c:strRef>
          </c:tx>
          <c:spPr>
            <a:solidFill>
              <a:schemeClr val="accent3"/>
            </a:solidFill>
            <a:ln>
              <a:noFill/>
            </a:ln>
            <a:effectLst/>
          </c:spPr>
          <c:invertIfNegative val="0"/>
          <c:cat>
            <c:strRef>
              <c:f>List3!$B$1:$D$1</c:f>
              <c:strCache>
                <c:ptCount val="3"/>
                <c:pt idx="0">
                  <c:v>OSTVARENJE/IZVRŠENJE 
2023. </c:v>
                </c:pt>
                <c:pt idx="1">
                  <c:v>IZVORNI PLAN ILI REBALANS 2024. </c:v>
                </c:pt>
                <c:pt idx="2">
                  <c:v>OSTVARENJE/IZVRŠENJE 
2024.</c:v>
                </c:pt>
              </c:strCache>
            </c:strRef>
          </c:cat>
          <c:val>
            <c:numRef>
              <c:f>List3!$B$4:$D$4</c:f>
              <c:numCache>
                <c:formatCode>#,##0.00</c:formatCode>
                <c:ptCount val="3"/>
                <c:pt idx="0">
                  <c:v>978.86</c:v>
                </c:pt>
                <c:pt idx="1">
                  <c:v>3340</c:v>
                </c:pt>
                <c:pt idx="2">
                  <c:v>1834.41</c:v>
                </c:pt>
              </c:numCache>
            </c:numRef>
          </c:val>
          <c:extLst>
            <c:ext xmlns:c16="http://schemas.microsoft.com/office/drawing/2014/chart" uri="{C3380CC4-5D6E-409C-BE32-E72D297353CC}">
              <c16:uniqueId val="{00000002-7AFB-46FF-A87D-26EC3D3DDE45}"/>
            </c:ext>
          </c:extLst>
        </c:ser>
        <c:ser>
          <c:idx val="3"/>
          <c:order val="3"/>
          <c:tx>
            <c:strRef>
              <c:f>List3!$A$5</c:f>
              <c:strCache>
                <c:ptCount val="1"/>
                <c:pt idx="0">
                  <c:v>5 Pomoći</c:v>
                </c:pt>
              </c:strCache>
            </c:strRef>
          </c:tx>
          <c:spPr>
            <a:solidFill>
              <a:schemeClr val="accent4"/>
            </a:solidFill>
            <a:ln>
              <a:noFill/>
            </a:ln>
            <a:effectLst/>
          </c:spPr>
          <c:invertIfNegative val="0"/>
          <c:cat>
            <c:strRef>
              <c:f>List3!$B$1:$D$1</c:f>
              <c:strCache>
                <c:ptCount val="3"/>
                <c:pt idx="0">
                  <c:v>OSTVARENJE/IZVRŠENJE 
2023. </c:v>
                </c:pt>
                <c:pt idx="1">
                  <c:v>IZVORNI PLAN ILI REBALANS 2024. </c:v>
                </c:pt>
                <c:pt idx="2">
                  <c:v>OSTVARENJE/IZVRŠENJE 
2024.</c:v>
                </c:pt>
              </c:strCache>
            </c:strRef>
          </c:cat>
          <c:val>
            <c:numRef>
              <c:f>List3!$B$5:$D$5</c:f>
              <c:numCache>
                <c:formatCode>#,##0.00</c:formatCode>
                <c:ptCount val="3"/>
                <c:pt idx="0">
                  <c:v>932961.87</c:v>
                </c:pt>
                <c:pt idx="1">
                  <c:v>1091894</c:v>
                </c:pt>
                <c:pt idx="2">
                  <c:v>1098734.71</c:v>
                </c:pt>
              </c:numCache>
            </c:numRef>
          </c:val>
          <c:extLst>
            <c:ext xmlns:c16="http://schemas.microsoft.com/office/drawing/2014/chart" uri="{C3380CC4-5D6E-409C-BE32-E72D297353CC}">
              <c16:uniqueId val="{00000003-7AFB-46FF-A87D-26EC3D3DDE45}"/>
            </c:ext>
          </c:extLst>
        </c:ser>
        <c:ser>
          <c:idx val="4"/>
          <c:order val="4"/>
          <c:tx>
            <c:strRef>
              <c:f>List3!$A$6</c:f>
              <c:strCache>
                <c:ptCount val="1"/>
                <c:pt idx="0">
                  <c:v>6 Donacije</c:v>
                </c:pt>
              </c:strCache>
            </c:strRef>
          </c:tx>
          <c:spPr>
            <a:solidFill>
              <a:schemeClr val="accent5"/>
            </a:solidFill>
            <a:ln>
              <a:noFill/>
            </a:ln>
            <a:effectLst/>
          </c:spPr>
          <c:invertIfNegative val="0"/>
          <c:cat>
            <c:strRef>
              <c:f>List3!$B$1:$D$1</c:f>
              <c:strCache>
                <c:ptCount val="3"/>
                <c:pt idx="0">
                  <c:v>OSTVARENJE/IZVRŠENJE 
2023. </c:v>
                </c:pt>
                <c:pt idx="1">
                  <c:v>IZVORNI PLAN ILI REBALANS 2024. </c:v>
                </c:pt>
                <c:pt idx="2">
                  <c:v>OSTVARENJE/IZVRŠENJE 
2024.</c:v>
                </c:pt>
              </c:strCache>
            </c:strRef>
          </c:cat>
          <c:val>
            <c:numRef>
              <c:f>List3!$B$6:$D$6</c:f>
              <c:numCache>
                <c:formatCode>#,##0.00</c:formatCode>
                <c:ptCount val="3"/>
                <c:pt idx="0">
                  <c:v>980</c:v>
                </c:pt>
                <c:pt idx="1">
                  <c:v>0</c:v>
                </c:pt>
                <c:pt idx="2">
                  <c:v>1800</c:v>
                </c:pt>
              </c:numCache>
            </c:numRef>
          </c:val>
          <c:extLst>
            <c:ext xmlns:c16="http://schemas.microsoft.com/office/drawing/2014/chart" uri="{C3380CC4-5D6E-409C-BE32-E72D297353CC}">
              <c16:uniqueId val="{00000004-7AFB-46FF-A87D-26EC3D3DDE45}"/>
            </c:ext>
          </c:extLst>
        </c:ser>
        <c:dLbls>
          <c:showLegendKey val="0"/>
          <c:showVal val="0"/>
          <c:showCatName val="0"/>
          <c:showSerName val="0"/>
          <c:showPercent val="0"/>
          <c:showBubbleSize val="0"/>
        </c:dLbls>
        <c:gapWidth val="219"/>
        <c:overlap val="-27"/>
        <c:axId val="437084112"/>
        <c:axId val="437081816"/>
      </c:barChart>
      <c:catAx>
        <c:axId val="43708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7081816"/>
        <c:crosses val="autoZero"/>
        <c:auto val="1"/>
        <c:lblAlgn val="ctr"/>
        <c:lblOffset val="100"/>
        <c:noMultiLvlLbl val="0"/>
      </c:catAx>
      <c:valAx>
        <c:axId val="437081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708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Rashodi</a:t>
            </a:r>
            <a:r>
              <a:rPr lang="hr-HR" baseline="0"/>
              <a:t> prema izvorima financiranja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List4!$A$2</c:f>
              <c:strCache>
                <c:ptCount val="1"/>
                <c:pt idx="0">
                  <c:v>1 Opći prihodi i primici</c:v>
                </c:pt>
              </c:strCache>
            </c:strRef>
          </c:tx>
          <c:spPr>
            <a:solidFill>
              <a:schemeClr val="accent1"/>
            </a:solidFill>
            <a:ln>
              <a:noFill/>
            </a:ln>
            <a:effectLst/>
          </c:spPr>
          <c:invertIfNegative val="0"/>
          <c:cat>
            <c:strRef>
              <c:f>List4!$B$1:$D$1</c:f>
              <c:strCache>
                <c:ptCount val="3"/>
                <c:pt idx="0">
                  <c:v>OSTVARENJE/IZVRŠENJE 
2023. </c:v>
                </c:pt>
                <c:pt idx="1">
                  <c:v>IZVORNI PLAN ILI REBALANS 2024. </c:v>
                </c:pt>
                <c:pt idx="2">
                  <c:v>OSTVARENJE/IZVRŠENJE 
2024.</c:v>
                </c:pt>
              </c:strCache>
            </c:strRef>
          </c:cat>
          <c:val>
            <c:numRef>
              <c:f>List4!$B$2:$D$2</c:f>
              <c:numCache>
                <c:formatCode>#,##0.00</c:formatCode>
                <c:ptCount val="3"/>
                <c:pt idx="0">
                  <c:v>76575.69</c:v>
                </c:pt>
                <c:pt idx="1">
                  <c:v>104657</c:v>
                </c:pt>
                <c:pt idx="2">
                  <c:v>115884.82</c:v>
                </c:pt>
              </c:numCache>
            </c:numRef>
          </c:val>
          <c:extLst>
            <c:ext xmlns:c16="http://schemas.microsoft.com/office/drawing/2014/chart" uri="{C3380CC4-5D6E-409C-BE32-E72D297353CC}">
              <c16:uniqueId val="{00000000-3C8B-4B17-A664-3513F36AF629}"/>
            </c:ext>
          </c:extLst>
        </c:ser>
        <c:ser>
          <c:idx val="1"/>
          <c:order val="1"/>
          <c:tx>
            <c:strRef>
              <c:f>List4!$A$3</c:f>
              <c:strCache>
                <c:ptCount val="1"/>
                <c:pt idx="0">
                  <c:v>3 Vlastiti izvori</c:v>
                </c:pt>
              </c:strCache>
            </c:strRef>
          </c:tx>
          <c:spPr>
            <a:solidFill>
              <a:schemeClr val="accent2"/>
            </a:solidFill>
            <a:ln>
              <a:noFill/>
            </a:ln>
            <a:effectLst/>
          </c:spPr>
          <c:invertIfNegative val="0"/>
          <c:cat>
            <c:strRef>
              <c:f>List4!$B$1:$D$1</c:f>
              <c:strCache>
                <c:ptCount val="3"/>
                <c:pt idx="0">
                  <c:v>OSTVARENJE/IZVRŠENJE 
2023. </c:v>
                </c:pt>
                <c:pt idx="1">
                  <c:v>IZVORNI PLAN ILI REBALANS 2024. </c:v>
                </c:pt>
                <c:pt idx="2">
                  <c:v>OSTVARENJE/IZVRŠENJE 
2024.</c:v>
                </c:pt>
              </c:strCache>
            </c:strRef>
          </c:cat>
          <c:val>
            <c:numRef>
              <c:f>List4!$B$3:$D$3</c:f>
              <c:numCache>
                <c:formatCode>#,##0.00</c:formatCode>
                <c:ptCount val="3"/>
                <c:pt idx="0">
                  <c:v>3795.71</c:v>
                </c:pt>
                <c:pt idx="1">
                  <c:v>1361</c:v>
                </c:pt>
                <c:pt idx="2">
                  <c:v>460.86</c:v>
                </c:pt>
              </c:numCache>
            </c:numRef>
          </c:val>
          <c:extLst>
            <c:ext xmlns:c16="http://schemas.microsoft.com/office/drawing/2014/chart" uri="{C3380CC4-5D6E-409C-BE32-E72D297353CC}">
              <c16:uniqueId val="{00000001-3C8B-4B17-A664-3513F36AF629}"/>
            </c:ext>
          </c:extLst>
        </c:ser>
        <c:ser>
          <c:idx val="2"/>
          <c:order val="2"/>
          <c:tx>
            <c:strRef>
              <c:f>List4!$A$4</c:f>
              <c:strCache>
                <c:ptCount val="1"/>
                <c:pt idx="0">
                  <c:v>4 Prihodi za posebne namjene</c:v>
                </c:pt>
              </c:strCache>
            </c:strRef>
          </c:tx>
          <c:spPr>
            <a:solidFill>
              <a:schemeClr val="accent3"/>
            </a:solidFill>
            <a:ln>
              <a:noFill/>
            </a:ln>
            <a:effectLst/>
          </c:spPr>
          <c:invertIfNegative val="0"/>
          <c:cat>
            <c:strRef>
              <c:f>List4!$B$1:$D$1</c:f>
              <c:strCache>
                <c:ptCount val="3"/>
                <c:pt idx="0">
                  <c:v>OSTVARENJE/IZVRŠENJE 
2023. </c:v>
                </c:pt>
                <c:pt idx="1">
                  <c:v>IZVORNI PLAN ILI REBALANS 2024. </c:v>
                </c:pt>
                <c:pt idx="2">
                  <c:v>OSTVARENJE/IZVRŠENJE 
2024.</c:v>
                </c:pt>
              </c:strCache>
            </c:strRef>
          </c:cat>
          <c:val>
            <c:numRef>
              <c:f>List4!$B$4:$D$4</c:f>
              <c:numCache>
                <c:formatCode>#,##0.00</c:formatCode>
                <c:ptCount val="3"/>
                <c:pt idx="0">
                  <c:v>2420.06</c:v>
                </c:pt>
                <c:pt idx="1">
                  <c:v>3340</c:v>
                </c:pt>
                <c:pt idx="2">
                  <c:v>4246</c:v>
                </c:pt>
              </c:numCache>
            </c:numRef>
          </c:val>
          <c:extLst>
            <c:ext xmlns:c16="http://schemas.microsoft.com/office/drawing/2014/chart" uri="{C3380CC4-5D6E-409C-BE32-E72D297353CC}">
              <c16:uniqueId val="{00000002-3C8B-4B17-A664-3513F36AF629}"/>
            </c:ext>
          </c:extLst>
        </c:ser>
        <c:ser>
          <c:idx val="3"/>
          <c:order val="3"/>
          <c:tx>
            <c:strRef>
              <c:f>List4!$A$5</c:f>
              <c:strCache>
                <c:ptCount val="1"/>
                <c:pt idx="0">
                  <c:v>5 Pomoći</c:v>
                </c:pt>
              </c:strCache>
            </c:strRef>
          </c:tx>
          <c:spPr>
            <a:solidFill>
              <a:schemeClr val="accent4"/>
            </a:solidFill>
            <a:ln>
              <a:noFill/>
            </a:ln>
            <a:effectLst/>
          </c:spPr>
          <c:invertIfNegative val="0"/>
          <c:cat>
            <c:strRef>
              <c:f>List4!$B$1:$D$1</c:f>
              <c:strCache>
                <c:ptCount val="3"/>
                <c:pt idx="0">
                  <c:v>OSTVARENJE/IZVRŠENJE 
2023. </c:v>
                </c:pt>
                <c:pt idx="1">
                  <c:v>IZVORNI PLAN ILI REBALANS 2024. </c:v>
                </c:pt>
                <c:pt idx="2">
                  <c:v>OSTVARENJE/IZVRŠENJE 
2024.</c:v>
                </c:pt>
              </c:strCache>
            </c:strRef>
          </c:cat>
          <c:val>
            <c:numRef>
              <c:f>List4!$B$5:$D$5</c:f>
              <c:numCache>
                <c:formatCode>#,##0.00</c:formatCode>
                <c:ptCount val="3"/>
                <c:pt idx="0">
                  <c:v>930859.35</c:v>
                </c:pt>
                <c:pt idx="1">
                  <c:v>1091894</c:v>
                </c:pt>
                <c:pt idx="2">
                  <c:v>1086620.54</c:v>
                </c:pt>
              </c:numCache>
            </c:numRef>
          </c:val>
          <c:extLst>
            <c:ext xmlns:c16="http://schemas.microsoft.com/office/drawing/2014/chart" uri="{C3380CC4-5D6E-409C-BE32-E72D297353CC}">
              <c16:uniqueId val="{00000003-3C8B-4B17-A664-3513F36AF629}"/>
            </c:ext>
          </c:extLst>
        </c:ser>
        <c:ser>
          <c:idx val="4"/>
          <c:order val="4"/>
          <c:tx>
            <c:strRef>
              <c:f>List4!$A$6</c:f>
              <c:strCache>
                <c:ptCount val="1"/>
                <c:pt idx="0">
                  <c:v>6 Donacije</c:v>
                </c:pt>
              </c:strCache>
            </c:strRef>
          </c:tx>
          <c:spPr>
            <a:solidFill>
              <a:schemeClr val="accent5"/>
            </a:solidFill>
            <a:ln>
              <a:noFill/>
            </a:ln>
            <a:effectLst/>
          </c:spPr>
          <c:invertIfNegative val="0"/>
          <c:cat>
            <c:strRef>
              <c:f>List4!$B$1:$D$1</c:f>
              <c:strCache>
                <c:ptCount val="3"/>
                <c:pt idx="0">
                  <c:v>OSTVARENJE/IZVRŠENJE 
2023. </c:v>
                </c:pt>
                <c:pt idx="1">
                  <c:v>IZVORNI PLAN ILI REBALANS 2024. </c:v>
                </c:pt>
                <c:pt idx="2">
                  <c:v>OSTVARENJE/IZVRŠENJE 
2024.</c:v>
                </c:pt>
              </c:strCache>
            </c:strRef>
          </c:cat>
          <c:val>
            <c:numRef>
              <c:f>List4!$B$6:$D$6</c:f>
              <c:numCache>
                <c:formatCode>#,##0.00</c:formatCode>
                <c:ptCount val="3"/>
                <c:pt idx="0">
                  <c:v>980</c:v>
                </c:pt>
                <c:pt idx="1">
                  <c:v>0</c:v>
                </c:pt>
                <c:pt idx="2">
                  <c:v>0</c:v>
                </c:pt>
              </c:numCache>
            </c:numRef>
          </c:val>
          <c:extLst>
            <c:ext xmlns:c16="http://schemas.microsoft.com/office/drawing/2014/chart" uri="{C3380CC4-5D6E-409C-BE32-E72D297353CC}">
              <c16:uniqueId val="{00000004-3C8B-4B17-A664-3513F36AF629}"/>
            </c:ext>
          </c:extLst>
        </c:ser>
        <c:dLbls>
          <c:showLegendKey val="0"/>
          <c:showVal val="0"/>
          <c:showCatName val="0"/>
          <c:showSerName val="0"/>
          <c:showPercent val="0"/>
          <c:showBubbleSize val="0"/>
        </c:dLbls>
        <c:gapWidth val="219"/>
        <c:overlap val="-27"/>
        <c:axId val="437075912"/>
        <c:axId val="437079192"/>
      </c:barChart>
      <c:catAx>
        <c:axId val="437075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7079192"/>
        <c:crosses val="autoZero"/>
        <c:auto val="1"/>
        <c:lblAlgn val="ctr"/>
        <c:lblOffset val="100"/>
        <c:noMultiLvlLbl val="0"/>
      </c:catAx>
      <c:valAx>
        <c:axId val="4370791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7075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11</Pages>
  <Words>2970</Words>
  <Characters>16934</Characters>
  <Application>Microsoft Office Word</Application>
  <DocSecurity>0</DocSecurity>
  <Lines>141</Lines>
  <Paragraphs>39</Paragraphs>
  <ScaleCrop>false</ScaleCrop>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dc:creator>
  <cp:keywords/>
  <dc:description/>
  <cp:lastModifiedBy>Marijana</cp:lastModifiedBy>
  <cp:revision>5</cp:revision>
  <dcterms:created xsi:type="dcterms:W3CDTF">2025-03-31T09:44:00Z</dcterms:created>
  <dcterms:modified xsi:type="dcterms:W3CDTF">2025-03-31T09:50:00Z</dcterms:modified>
</cp:coreProperties>
</file>